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3FA2A8C6" w:rsidR="00B85A98" w:rsidRPr="00B3100E" w:rsidRDefault="00B85A98" w:rsidP="00B310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795500">
        <w:rPr>
          <w:rFonts w:ascii="Arial" w:hAnsi="Arial" w:cs="Arial"/>
          <w:b/>
          <w:bCs/>
          <w:sz w:val="28"/>
        </w:rPr>
        <w:t>7</w:t>
      </w:r>
      <w:r>
        <w:rPr>
          <w:rFonts w:ascii="Arial" w:hAnsi="Arial" w:cs="Arial"/>
          <w:b/>
          <w:bCs/>
          <w:sz w:val="28"/>
        </w:rPr>
        <w:tab/>
      </w:r>
      <w:r>
        <w:rPr>
          <w:rFonts w:ascii="Arial" w:hAnsi="Arial" w:cs="Arial"/>
          <w:b/>
          <w:bCs/>
          <w:sz w:val="28"/>
        </w:rPr>
        <w:tab/>
      </w:r>
      <w:r w:rsidR="00B3100E">
        <w:rPr>
          <w:rFonts w:ascii="Arial" w:hAnsi="Arial" w:cs="Arial"/>
          <w:b/>
          <w:bCs/>
          <w:sz w:val="28"/>
        </w:rPr>
        <w:tab/>
      </w:r>
      <w:r w:rsidR="00B3100E" w:rsidRPr="00B3100E">
        <w:rPr>
          <w:rFonts w:ascii="Arial" w:hAnsi="Arial" w:cs="Arial"/>
          <w:b/>
          <w:bCs/>
          <w:sz w:val="28"/>
        </w:rPr>
        <w:t>R1-1907025</w:t>
      </w:r>
    </w:p>
    <w:p w14:paraId="0459F9A8" w14:textId="1422FDD8" w:rsidR="000D7C4F" w:rsidRDefault="00795500" w:rsidP="000D7C4F">
      <w:pPr>
        <w:pStyle w:val="En-tte"/>
        <w:spacing w:line="276" w:lineRule="auto"/>
        <w:rPr>
          <w:rFonts w:cs="Arial"/>
          <w:bCs/>
          <w:noProof w:val="0"/>
          <w:sz w:val="28"/>
          <w:szCs w:val="24"/>
          <w:lang w:eastAsia="ja-JP"/>
        </w:rPr>
      </w:pPr>
      <w:r w:rsidRPr="00795500">
        <w:rPr>
          <w:rFonts w:cs="Arial"/>
          <w:bCs/>
          <w:noProof w:val="0"/>
          <w:sz w:val="28"/>
          <w:szCs w:val="24"/>
          <w:lang w:eastAsia="ja-JP"/>
        </w:rPr>
        <w:t>Reno, USA, May 13th – 17th, 2019</w:t>
      </w:r>
    </w:p>
    <w:p w14:paraId="1D70FB06" w14:textId="77777777" w:rsidR="00795500" w:rsidRPr="00155C60" w:rsidRDefault="00795500"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2289DB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7233">
        <w:rPr>
          <w:rFonts w:asciiTheme="majorHAnsi" w:eastAsia="MS Gothic" w:hAnsiTheme="majorHAnsi" w:cstheme="majorHAnsi"/>
          <w:noProof w:val="0"/>
          <w:sz w:val="24"/>
        </w:rPr>
        <w:t>O</w:t>
      </w:r>
      <w:r w:rsidR="00F43771">
        <w:rPr>
          <w:rFonts w:asciiTheme="majorHAnsi" w:eastAsia="MS Gothic" w:hAnsiTheme="majorHAnsi" w:cstheme="majorHAnsi"/>
          <w:noProof w:val="0"/>
          <w:sz w:val="24"/>
        </w:rPr>
        <w:t xml:space="preserve">n </w:t>
      </w:r>
      <w:r w:rsidR="009E6B12">
        <w:rPr>
          <w:rFonts w:asciiTheme="majorHAnsi" w:eastAsia="MS Gothic" w:hAnsiTheme="majorHAnsi" w:cstheme="majorHAnsi"/>
          <w:noProof w:val="0"/>
          <w:sz w:val="24"/>
        </w:rPr>
        <w:t>synchronization procedure</w:t>
      </w:r>
      <w:r w:rsidR="00B47233">
        <w:rPr>
          <w:rFonts w:asciiTheme="majorHAnsi" w:eastAsia="MS Gothic" w:hAnsiTheme="majorHAnsi" w:cstheme="majorHAnsi"/>
          <w:noProof w:val="0"/>
          <w:sz w:val="24"/>
        </w:rPr>
        <w:t>s</w:t>
      </w:r>
      <w:r w:rsidR="002A521C">
        <w:rPr>
          <w:rFonts w:asciiTheme="majorHAnsi" w:eastAsia="MS Gothic" w:hAnsiTheme="majorHAnsi" w:cstheme="majorHAnsi"/>
          <w:noProof w:val="0"/>
          <w:sz w:val="24"/>
        </w:rPr>
        <w:t xml:space="preserve">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3A5F0ED9"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7.2.4.3</w:t>
      </w:r>
      <w:r w:rsidR="001B0D72">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Synchronization mechanism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35E4796B" w:rsidR="00357F61" w:rsidRDefault="00DD4444" w:rsidP="00A81622">
      <w:pPr>
        <w:pStyle w:val="Titre1"/>
      </w:pPr>
      <w:bookmarkStart w:id="0" w:name="_Ref534820708"/>
      <w:r w:rsidRPr="00055E47">
        <w:t>Introduction</w:t>
      </w:r>
      <w:bookmarkEnd w:id="0"/>
    </w:p>
    <w:p w14:paraId="4252AECA" w14:textId="0E38CD0C" w:rsidR="00844744" w:rsidRDefault="00844744" w:rsidP="00844744">
      <w:pPr>
        <w:rPr>
          <w:lang w:eastAsia="zh-CN"/>
        </w:rPr>
      </w:pPr>
      <w:r>
        <w:t xml:space="preserve">A study item on NR V2X </w:t>
      </w:r>
      <w:r>
        <w:fldChar w:fldCharType="begin"/>
      </w:r>
      <w:r>
        <w:instrText xml:space="preserve"> REF _Ref520481203 \r \h </w:instrText>
      </w:r>
      <w:r>
        <w:fldChar w:fldCharType="separate"/>
      </w:r>
      <w:r w:rsidR="00640FB3">
        <w:t>[1]</w:t>
      </w:r>
      <w:r>
        <w:fldChar w:fldCharType="end"/>
      </w:r>
      <w:r>
        <w:t xml:space="preserve">, approved at the RAN#80 plenary and intended to </w:t>
      </w:r>
      <w:r w:rsidRPr="00721DE0">
        <w:rPr>
          <w:lang w:eastAsia="zh-CN"/>
        </w:rPr>
        <w:t xml:space="preserve">support advanced V2X services </w:t>
      </w:r>
      <w:r>
        <w:rPr>
          <w:lang w:eastAsia="zh-CN"/>
        </w:rPr>
        <w:fldChar w:fldCharType="begin"/>
      </w:r>
      <w:r>
        <w:rPr>
          <w:lang w:eastAsia="zh-CN"/>
        </w:rPr>
        <w:instrText xml:space="preserve"> REF _Ref4797669 \r \h </w:instrText>
      </w:r>
      <w:r>
        <w:rPr>
          <w:lang w:eastAsia="zh-CN"/>
        </w:rPr>
      </w:r>
      <w:r>
        <w:rPr>
          <w:lang w:eastAsia="zh-CN"/>
        </w:rPr>
        <w:fldChar w:fldCharType="separate"/>
      </w:r>
      <w:r w:rsidR="00640FB3">
        <w:rPr>
          <w:lang w:eastAsia="zh-CN"/>
        </w:rPr>
        <w:t>[3]</w:t>
      </w:r>
      <w:r>
        <w:rPr>
          <w:lang w:eastAsia="zh-CN"/>
        </w:rPr>
        <w:fldChar w:fldCharType="end"/>
      </w:r>
      <w:r>
        <w:rPr>
          <w:lang w:eastAsia="zh-CN"/>
        </w:rPr>
        <w:t xml:space="preserve"> </w:t>
      </w:r>
      <w:r w:rsidRPr="00721DE0">
        <w:rPr>
          <w:lang w:eastAsia="zh-CN"/>
        </w:rPr>
        <w:t>beyond service</w:t>
      </w:r>
      <w:r>
        <w:rPr>
          <w:lang w:eastAsia="zh-CN"/>
        </w:rPr>
        <w:t xml:space="preserve">s supported in LTE Rel-15 V2X, rendered its conclusions in TR 38.824. A new work item on NR V2X </w:t>
      </w:r>
      <w:r>
        <w:rPr>
          <w:lang w:eastAsia="zh-CN"/>
        </w:rPr>
        <w:fldChar w:fldCharType="begin"/>
      </w:r>
      <w:r>
        <w:rPr>
          <w:lang w:eastAsia="zh-CN"/>
        </w:rPr>
        <w:instrText xml:space="preserve"> REF _Ref4747864 \r \h </w:instrText>
      </w:r>
      <w:r>
        <w:rPr>
          <w:lang w:eastAsia="zh-CN"/>
        </w:rPr>
      </w:r>
      <w:r>
        <w:rPr>
          <w:lang w:eastAsia="zh-CN"/>
        </w:rPr>
        <w:fldChar w:fldCharType="separate"/>
      </w:r>
      <w:r w:rsidR="00640FB3">
        <w:rPr>
          <w:lang w:eastAsia="zh-CN"/>
        </w:rPr>
        <w:t>[2]</w:t>
      </w:r>
      <w:r>
        <w:rPr>
          <w:lang w:eastAsia="zh-CN"/>
        </w:rPr>
        <w:fldChar w:fldCharType="end"/>
      </w:r>
      <w:r>
        <w:rPr>
          <w:lang w:eastAsia="zh-CN"/>
        </w:rPr>
        <w:t xml:space="preserve"> was approved at the RAN#83 plenary </w:t>
      </w:r>
      <w:r w:rsidRPr="0057684C">
        <w:rPr>
          <w:i/>
          <w:lang w:eastAsia="ko-KR"/>
        </w:rPr>
        <w:t>to specify radio solutions that are necessary for NR to support advanced V2X services based on the study outcome captured in TR 38.885</w:t>
      </w:r>
      <w:r>
        <w:rPr>
          <w:lang w:eastAsia="zh-CN"/>
        </w:rPr>
        <w:t xml:space="preserve"> </w:t>
      </w:r>
      <w:r>
        <w:rPr>
          <w:lang w:eastAsia="ko-KR"/>
        </w:rPr>
        <w:t>.</w:t>
      </w:r>
    </w:p>
    <w:p w14:paraId="16E5B45E" w14:textId="2481CCCD" w:rsidR="00844744" w:rsidRDefault="00844744" w:rsidP="000D1631">
      <w:pPr>
        <w:spacing w:after="0"/>
        <w:rPr>
          <w:rFonts w:eastAsia="Malgun Gothic"/>
          <w:sz w:val="20"/>
          <w:szCs w:val="20"/>
          <w:lang w:eastAsia="ko-KR"/>
        </w:rPr>
      </w:pPr>
      <w:r>
        <w:rPr>
          <w:lang w:eastAsia="zh-CN"/>
        </w:rPr>
        <w:t xml:space="preserve">One of the main challenges is the specification of </w:t>
      </w:r>
      <w:r>
        <w:rPr>
          <w:lang w:eastAsia="ko-KR"/>
        </w:rPr>
        <w:t xml:space="preserve">NR </w:t>
      </w:r>
      <w:r w:rsidRPr="009A3312">
        <w:rPr>
          <w:i/>
          <w:lang w:eastAsia="ko-KR"/>
        </w:rPr>
        <w:t xml:space="preserve">sidelink </w:t>
      </w:r>
      <w:r w:rsidRPr="00844744">
        <w:rPr>
          <w:i/>
          <w:lang w:eastAsia="ko-KR"/>
        </w:rPr>
        <w:t>synchronization mechanism as per the study outcome</w:t>
      </w:r>
      <w:r>
        <w:rPr>
          <w:lang w:eastAsia="ko-KR"/>
        </w:rPr>
        <w:t xml:space="preserve"> , including</w:t>
      </w:r>
      <w:r w:rsidR="009A3312">
        <w:rPr>
          <w:lang w:eastAsia="ko-KR"/>
        </w:rPr>
        <w:t xml:space="preserve"> </w:t>
      </w:r>
      <w:r w:rsidR="009A3312">
        <w:rPr>
          <w:lang w:eastAsia="zh-CN"/>
        </w:rPr>
        <w:fldChar w:fldCharType="begin"/>
      </w:r>
      <w:r w:rsidR="009A3312">
        <w:rPr>
          <w:lang w:eastAsia="zh-CN"/>
        </w:rPr>
        <w:instrText xml:space="preserve"> REF _Ref4747864 \r \h </w:instrText>
      </w:r>
      <w:r w:rsidR="009A3312">
        <w:rPr>
          <w:lang w:eastAsia="zh-CN"/>
        </w:rPr>
      </w:r>
      <w:r w:rsidR="009A3312">
        <w:rPr>
          <w:lang w:eastAsia="zh-CN"/>
        </w:rPr>
        <w:fldChar w:fldCharType="separate"/>
      </w:r>
      <w:r w:rsidR="00640FB3">
        <w:rPr>
          <w:lang w:eastAsia="zh-CN"/>
        </w:rPr>
        <w:t>[2]</w:t>
      </w:r>
      <w:r w:rsidR="009A3312">
        <w:rPr>
          <w:lang w:eastAsia="zh-CN"/>
        </w:rPr>
        <w:fldChar w:fldCharType="end"/>
      </w:r>
      <w:r w:rsidR="009A3312">
        <w:rPr>
          <w:lang w:eastAsia="ko-KR"/>
        </w:rPr>
        <w:t>.</w:t>
      </w:r>
    </w:p>
    <w:p w14:paraId="05452769"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Procedures selecting synchronization reference</w:t>
      </w:r>
    </w:p>
    <w:p w14:paraId="49058F88"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S-SSB and procedures to transmit and receive it, including when GNSS and gNB/eNB are unavailable</w:t>
      </w:r>
    </w:p>
    <w:p w14:paraId="75602A92"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Use of RS for sidelink synchronization if specification impact is identified</w:t>
      </w:r>
    </w:p>
    <w:p w14:paraId="2D56EFED" w14:textId="77777777" w:rsidR="000D1631" w:rsidRDefault="000D1631" w:rsidP="00844744">
      <w:pPr>
        <w:rPr>
          <w:lang w:eastAsia="zh-CN"/>
        </w:rPr>
      </w:pPr>
    </w:p>
    <w:p w14:paraId="4DAC350C" w14:textId="2240AEB2" w:rsidR="00844744" w:rsidRDefault="00844744" w:rsidP="00844744">
      <w:pPr>
        <w:rPr>
          <w:lang w:eastAsia="zh-CN"/>
        </w:rPr>
      </w:pPr>
      <w:r>
        <w:rPr>
          <w:lang w:eastAsia="zh-CN"/>
        </w:rPr>
        <w:t>During the study item phase, the following agreements concerning sidelink RS design were made at RAN1 NR-AH#1901</w:t>
      </w:r>
      <w:r w:rsidR="009A3312">
        <w:rPr>
          <w:lang w:eastAsia="zh-CN"/>
        </w:rPr>
        <w:fldChar w:fldCharType="begin"/>
      </w:r>
      <w:r w:rsidR="009A3312">
        <w:rPr>
          <w:lang w:eastAsia="zh-CN"/>
        </w:rPr>
        <w:instrText xml:space="preserve"> REF _Ref4797980 \r \h </w:instrText>
      </w:r>
      <w:r w:rsidR="009A3312">
        <w:rPr>
          <w:lang w:eastAsia="zh-CN"/>
        </w:rPr>
      </w:r>
      <w:r w:rsidR="009A3312">
        <w:rPr>
          <w:lang w:eastAsia="zh-CN"/>
        </w:rPr>
        <w:fldChar w:fldCharType="separate"/>
      </w:r>
      <w:r w:rsidR="00640FB3">
        <w:rPr>
          <w:lang w:eastAsia="zh-CN"/>
        </w:rPr>
        <w:t>[4]</w:t>
      </w:r>
      <w:r w:rsidR="009A3312">
        <w:rPr>
          <w:lang w:eastAsia="zh-CN"/>
        </w:rPr>
        <w:fldChar w:fldCharType="end"/>
      </w:r>
      <w:r>
        <w:rPr>
          <w:lang w:eastAsia="zh-CN"/>
        </w:rPr>
        <w:t>:</w:t>
      </w:r>
    </w:p>
    <w:p w14:paraId="796662F0" w14:textId="77777777" w:rsidR="00844744" w:rsidRPr="001E63F1" w:rsidRDefault="00844744" w:rsidP="000D1631">
      <w:pPr>
        <w:numPr>
          <w:ilvl w:val="0"/>
          <w:numId w:val="35"/>
        </w:numPr>
        <w:spacing w:after="0"/>
        <w:ind w:left="1080"/>
        <w:jc w:val="left"/>
        <w:rPr>
          <w:rFonts w:eastAsia="Malgun Gothic"/>
          <w:i/>
        </w:rPr>
      </w:pPr>
      <w:r w:rsidRPr="001E63F1">
        <w:rPr>
          <w:rFonts w:eastAsia="Malgun Gothic"/>
          <w:i/>
        </w:rPr>
        <w:t>At least for single-carrier operation:</w:t>
      </w:r>
    </w:p>
    <w:p w14:paraId="67EE9522"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6DC349C" w14:textId="77777777" w:rsidR="00844744" w:rsidRPr="001E63F1" w:rsidRDefault="00844744" w:rsidP="000D1631">
      <w:pPr>
        <w:numPr>
          <w:ilvl w:val="1"/>
          <w:numId w:val="37"/>
        </w:numPr>
        <w:spacing w:after="0"/>
        <w:ind w:left="2880"/>
        <w:jc w:val="left"/>
        <w:rPr>
          <w:rFonts w:eastAsia="Malgun Gothic"/>
          <w:i/>
        </w:rPr>
      </w:pPr>
      <w:r w:rsidRPr="001E63F1">
        <w:rPr>
          <w:rFonts w:eastAsia="Malgun Gothic"/>
          <w:i/>
        </w:rPr>
        <w:t>FFS the priority between eNB and gNB (if necessary)</w:t>
      </w:r>
    </w:p>
    <w:p w14:paraId="08DB16CC"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58064695" w14:textId="77777777" w:rsidR="00844744" w:rsidRPr="001E63F1" w:rsidRDefault="00844744" w:rsidP="000D1631">
      <w:pPr>
        <w:numPr>
          <w:ilvl w:val="1"/>
          <w:numId w:val="36"/>
        </w:numPr>
        <w:spacing w:after="0"/>
        <w:ind w:left="2880"/>
        <w:jc w:val="left"/>
        <w:rPr>
          <w:rFonts w:eastAsia="Malgun Gothic"/>
          <w:i/>
        </w:rPr>
      </w:pPr>
      <w:r w:rsidRPr="001E63F1">
        <w:rPr>
          <w:rFonts w:eastAsia="Malgun Gothic"/>
          <w:i/>
        </w:rPr>
        <w:t>FFS other potential usage</w:t>
      </w:r>
    </w:p>
    <w:p w14:paraId="03CE9DFF" w14:textId="77777777" w:rsidR="00844744" w:rsidRPr="001E63F1" w:rsidRDefault="00844744" w:rsidP="000D1631">
      <w:pPr>
        <w:numPr>
          <w:ilvl w:val="1"/>
          <w:numId w:val="36"/>
        </w:numPr>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753C13C4" w14:textId="77777777" w:rsidR="009A3312" w:rsidRDefault="009A3312" w:rsidP="0032316A"/>
    <w:p w14:paraId="5BF24C4F" w14:textId="495D038D" w:rsidR="00844744" w:rsidRPr="0032316A" w:rsidRDefault="009A3312" w:rsidP="0032316A">
      <w:r>
        <w:t>Furthermore, at the RAN1#96 meeting</w:t>
      </w:r>
      <w:r w:rsidR="001B5B32">
        <w:t xml:space="preserve"> </w:t>
      </w:r>
      <w:r w:rsidR="001B5B32">
        <w:fldChar w:fldCharType="begin"/>
      </w:r>
      <w:r w:rsidR="001B5B32">
        <w:instrText xml:space="preserve"> REF _Ref7727426 \r \h </w:instrText>
      </w:r>
      <w:r w:rsidR="001B5B32">
        <w:fldChar w:fldCharType="separate"/>
      </w:r>
      <w:r w:rsidR="00640FB3">
        <w:t>[5]</w:t>
      </w:r>
      <w:r w:rsidR="001B5B32">
        <w:fldChar w:fldCharType="end"/>
      </w:r>
      <w:r>
        <w:t>, it was decided that</w:t>
      </w:r>
    </w:p>
    <w:p w14:paraId="0F62DE7A" w14:textId="77777777" w:rsidR="00034117" w:rsidRPr="009A3312" w:rsidRDefault="00034117" w:rsidP="00034117">
      <w:pPr>
        <w:pStyle w:val="Corpsdetexte"/>
        <w:numPr>
          <w:ilvl w:val="0"/>
          <w:numId w:val="26"/>
        </w:numPr>
        <w:spacing w:line="276" w:lineRule="auto"/>
        <w:rPr>
          <w:rFonts w:eastAsia="DengXian"/>
          <w:i/>
          <w:sz w:val="22"/>
          <w:lang w:eastAsia="zh-CN"/>
        </w:rPr>
      </w:pPr>
      <w:r w:rsidRPr="009A3312">
        <w:rPr>
          <w:rFonts w:eastAsia="DengXian"/>
          <w:i/>
          <w:sz w:val="22"/>
          <w:lang w:eastAsia="zh-CN"/>
        </w:rPr>
        <w:t xml:space="preserve">Whether GNSS-based synchronization or gNB/eNB-based synchronization is used is (pre)-configured.  </w:t>
      </w:r>
    </w:p>
    <w:p w14:paraId="5EFDB533" w14:textId="77777777" w:rsidR="00034117" w:rsidRPr="00570BEB" w:rsidRDefault="00034117" w:rsidP="00034117">
      <w:pPr>
        <w:pStyle w:val="Corpsdetexte"/>
        <w:numPr>
          <w:ilvl w:val="1"/>
          <w:numId w:val="26"/>
        </w:numPr>
        <w:spacing w:line="276" w:lineRule="auto"/>
        <w:rPr>
          <w:rFonts w:eastAsia="DengXian"/>
          <w:sz w:val="22"/>
          <w:lang w:eastAsia="zh-CN"/>
        </w:rPr>
      </w:pPr>
      <w:r w:rsidRPr="009A3312">
        <w:rPr>
          <w:rFonts w:eastAsia="DengXian"/>
          <w:i/>
          <w:sz w:val="22"/>
          <w:lang w:eastAsia="zh-CN"/>
        </w:rPr>
        <w:t xml:space="preserve">The following table is a </w:t>
      </w:r>
      <w:r w:rsidRPr="009A3312">
        <w:rPr>
          <w:rFonts w:eastAsia="DengXian"/>
          <w:i/>
          <w:sz w:val="22"/>
          <w:highlight w:val="darkYellow"/>
          <w:lang w:eastAsia="zh-CN"/>
        </w:rPr>
        <w:t>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34117" w:rsidRPr="00570BEB" w14:paraId="2DB85EE4" w14:textId="77777777" w:rsidTr="00B7240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DD53BA"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8E1E91B"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gNB/eNB-based synchronization</w:t>
            </w:r>
          </w:p>
        </w:tc>
      </w:tr>
      <w:tr w:rsidR="00034117" w:rsidRPr="00570BEB" w14:paraId="7CBDA4AC" w14:textId="77777777" w:rsidTr="00B7240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51D1F8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lastRenderedPageBreak/>
              <w:t xml:space="preserve">P0: GNSS </w:t>
            </w:r>
          </w:p>
          <w:p w14:paraId="194E671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P1: the following UE has the same priority: </w:t>
            </w:r>
          </w:p>
          <w:p w14:paraId="6FD4AA6D"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 xml:space="preserve">UE directly synchronized to GNSS </w:t>
            </w:r>
          </w:p>
          <w:p w14:paraId="4C9AFABA"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P2: the following UE has the same priority: </w:t>
            </w:r>
          </w:p>
          <w:p w14:paraId="70919765"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UE indirectly synchronized to GNSS</w:t>
            </w:r>
          </w:p>
          <w:p w14:paraId="1C69F820"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860B5F9"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P0: gNB/eNB</w:t>
            </w:r>
          </w:p>
          <w:p w14:paraId="2131DCD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P1’: UE directly synchronized to gNB/eNB </w:t>
            </w:r>
          </w:p>
          <w:p w14:paraId="10F1CD3F"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P2’: UE indirectly synchronized to gNB/eNB </w:t>
            </w:r>
          </w:p>
          <w:p w14:paraId="275B92A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P3’: GNSS </w:t>
            </w:r>
          </w:p>
          <w:p w14:paraId="7F15BCF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P4’: UE directly synchronized to GNSS </w:t>
            </w:r>
          </w:p>
          <w:p w14:paraId="7FFE9D8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P5’: UE indirectly synchronized to GNSS</w:t>
            </w:r>
          </w:p>
          <w:p w14:paraId="65EE299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P6’: the remaining UEs have the lowest priority. </w:t>
            </w:r>
          </w:p>
        </w:tc>
      </w:tr>
    </w:tbl>
    <w:p w14:paraId="12634423" w14:textId="77777777" w:rsidR="00034117" w:rsidRDefault="00034117" w:rsidP="00034117">
      <w:pPr>
        <w:rPr>
          <w:b/>
          <w:lang w:eastAsia="x-none"/>
        </w:rPr>
      </w:pPr>
    </w:p>
    <w:p w14:paraId="1055EFB7" w14:textId="18777DF1" w:rsidR="00034117" w:rsidRPr="00087A25" w:rsidRDefault="007A24F1" w:rsidP="00034117">
      <w:pPr>
        <w:rPr>
          <w:szCs w:val="20"/>
          <w:lang w:eastAsia="x-none"/>
        </w:rPr>
      </w:pPr>
      <w:r>
        <w:rPr>
          <w:szCs w:val="20"/>
          <w:lang w:eastAsia="x-none"/>
        </w:rPr>
        <w:t>Concerning RS-based synchronization, the following was decided:</w:t>
      </w:r>
    </w:p>
    <w:p w14:paraId="4BDA07C9" w14:textId="77777777" w:rsidR="00034117" w:rsidRPr="007A24F1" w:rsidRDefault="00034117" w:rsidP="00034117">
      <w:pPr>
        <w:numPr>
          <w:ilvl w:val="0"/>
          <w:numId w:val="27"/>
        </w:numPr>
        <w:spacing w:after="0"/>
        <w:jc w:val="left"/>
        <w:rPr>
          <w:i/>
          <w:szCs w:val="20"/>
        </w:rPr>
      </w:pPr>
      <w:r w:rsidRPr="007A24F1">
        <w:rPr>
          <w:i/>
          <w:szCs w:val="20"/>
        </w:rPr>
        <w:t>NR V2X supports using a sidelink RS for synchronization purpose</w:t>
      </w:r>
    </w:p>
    <w:p w14:paraId="06698EBA" w14:textId="77777777" w:rsidR="00034117" w:rsidRPr="007A24F1" w:rsidRDefault="00034117" w:rsidP="00034117">
      <w:pPr>
        <w:numPr>
          <w:ilvl w:val="1"/>
          <w:numId w:val="27"/>
        </w:numPr>
        <w:spacing w:after="0"/>
        <w:jc w:val="left"/>
        <w:rPr>
          <w:i/>
          <w:szCs w:val="20"/>
        </w:rPr>
      </w:pPr>
      <w:r w:rsidRPr="007A24F1">
        <w:rPr>
          <w:i/>
          <w:szCs w:val="20"/>
        </w:rPr>
        <w:t>Applicable only on unlicensed (ITS) carrier with no network deployment on this carrier</w:t>
      </w:r>
    </w:p>
    <w:p w14:paraId="1A952DD8" w14:textId="77777777" w:rsidR="00034117" w:rsidRPr="007A24F1" w:rsidRDefault="00034117" w:rsidP="00034117">
      <w:pPr>
        <w:numPr>
          <w:ilvl w:val="1"/>
          <w:numId w:val="27"/>
        </w:numPr>
        <w:spacing w:after="0"/>
        <w:jc w:val="left"/>
        <w:rPr>
          <w:i/>
          <w:szCs w:val="20"/>
        </w:rPr>
      </w:pPr>
      <w:r w:rsidRPr="007A24F1">
        <w:rPr>
          <w:i/>
          <w:szCs w:val="20"/>
        </w:rPr>
        <w:t xml:space="preserve">This RS is not a standalone RS and not part of SLSS.  </w:t>
      </w:r>
    </w:p>
    <w:p w14:paraId="680C7AC1" w14:textId="77777777" w:rsidR="00034117" w:rsidRPr="007A24F1" w:rsidRDefault="00034117" w:rsidP="00034117">
      <w:pPr>
        <w:numPr>
          <w:ilvl w:val="1"/>
          <w:numId w:val="27"/>
        </w:numPr>
        <w:spacing w:after="0"/>
        <w:jc w:val="left"/>
        <w:rPr>
          <w:i/>
          <w:szCs w:val="20"/>
        </w:rPr>
      </w:pPr>
      <w:r w:rsidRPr="007A24F1">
        <w:rPr>
          <w:i/>
          <w:szCs w:val="20"/>
        </w:rPr>
        <w:t>This RS will not appear in the synchronization procedure for the selection of sync sources.</w:t>
      </w:r>
    </w:p>
    <w:p w14:paraId="41CE1C4C" w14:textId="77777777" w:rsidR="00034117" w:rsidRPr="007A24F1" w:rsidRDefault="00034117" w:rsidP="00034117">
      <w:pPr>
        <w:numPr>
          <w:ilvl w:val="1"/>
          <w:numId w:val="27"/>
        </w:numPr>
        <w:spacing w:after="0"/>
        <w:jc w:val="left"/>
        <w:rPr>
          <w:i/>
          <w:szCs w:val="20"/>
        </w:rPr>
      </w:pPr>
      <w:r w:rsidRPr="007A24F1">
        <w:rPr>
          <w:i/>
          <w:szCs w:val="20"/>
        </w:rPr>
        <w:t>RS used for the synchronization purpose would not impact any sidelink RS design</w:t>
      </w:r>
    </w:p>
    <w:p w14:paraId="1B2075D0" w14:textId="77777777" w:rsidR="00034117" w:rsidRPr="007A24F1" w:rsidRDefault="00034117" w:rsidP="00034117">
      <w:pPr>
        <w:numPr>
          <w:ilvl w:val="1"/>
          <w:numId w:val="27"/>
        </w:numPr>
        <w:spacing w:after="0"/>
        <w:jc w:val="left"/>
        <w:rPr>
          <w:i/>
          <w:szCs w:val="20"/>
        </w:rPr>
      </w:pPr>
      <w:r w:rsidRPr="007A24F1">
        <w:rPr>
          <w:i/>
          <w:szCs w:val="20"/>
        </w:rPr>
        <w:t>FFS:  Whether this RS is DM RS or other RS</w:t>
      </w:r>
    </w:p>
    <w:p w14:paraId="47547D1C" w14:textId="77777777" w:rsidR="00034117" w:rsidRPr="007A24F1" w:rsidRDefault="00034117" w:rsidP="00034117">
      <w:pPr>
        <w:numPr>
          <w:ilvl w:val="1"/>
          <w:numId w:val="27"/>
        </w:numPr>
        <w:spacing w:after="0"/>
        <w:jc w:val="left"/>
        <w:rPr>
          <w:i/>
          <w:szCs w:val="20"/>
        </w:rPr>
      </w:pPr>
      <w:r w:rsidRPr="007A24F1">
        <w:rPr>
          <w:i/>
          <w:szCs w:val="20"/>
        </w:rPr>
        <w:t xml:space="preserve">FFS: Whether this could be achieved by UE implementation </w:t>
      </w:r>
    </w:p>
    <w:p w14:paraId="0F507F21" w14:textId="77777777" w:rsidR="00034117" w:rsidRPr="007A24F1" w:rsidRDefault="00034117" w:rsidP="00034117">
      <w:pPr>
        <w:numPr>
          <w:ilvl w:val="1"/>
          <w:numId w:val="27"/>
        </w:numPr>
        <w:spacing w:after="0"/>
        <w:jc w:val="left"/>
        <w:rPr>
          <w:i/>
          <w:szCs w:val="20"/>
        </w:rPr>
      </w:pPr>
      <w:r w:rsidRPr="007A24F1">
        <w:rPr>
          <w:i/>
          <w:szCs w:val="20"/>
        </w:rPr>
        <w:t xml:space="preserve">FFS: Specification impact </w:t>
      </w:r>
    </w:p>
    <w:p w14:paraId="73B4A7CD" w14:textId="77777777" w:rsidR="003D4BB3" w:rsidRDefault="003D4BB3" w:rsidP="00BF2EB4">
      <w:pPr>
        <w:rPr>
          <w:lang w:eastAsia="zh-CN"/>
        </w:rPr>
      </w:pPr>
    </w:p>
    <w:p w14:paraId="5B21A4A1" w14:textId="1E5C64E3" w:rsidR="00BF2EB4" w:rsidRDefault="00BF2EB4" w:rsidP="00BF2EB4">
      <w:r>
        <w:t xml:space="preserve">In this contribution, we give </w:t>
      </w:r>
      <w:r w:rsidR="00E62B70">
        <w:t>our view on</w:t>
      </w:r>
      <w:r>
        <w:t xml:space="preserve"> </w:t>
      </w:r>
      <w:r w:rsidR="009E6B12">
        <w:t>synchronization procedure</w:t>
      </w:r>
      <w:r>
        <w:t xml:space="preserve"> for NR V2X.</w:t>
      </w:r>
      <w:r w:rsidR="00517346">
        <w:t xml:space="preserve"> </w:t>
      </w:r>
      <w:r w:rsidR="00517346" w:rsidRPr="001E140D">
        <w:t>This contribution is revised from R1-1905257</w:t>
      </w:r>
      <w:r w:rsidR="001E140D">
        <w:t>, with new added content</w:t>
      </w:r>
      <w:r w:rsidR="00517346">
        <w:t>.</w:t>
      </w:r>
    </w:p>
    <w:p w14:paraId="36892283" w14:textId="77777777" w:rsidR="008B57C3" w:rsidRDefault="008B57C3" w:rsidP="00A81622">
      <w:pPr>
        <w:pBdr>
          <w:bottom w:val="single" w:sz="12" w:space="1" w:color="auto"/>
        </w:pBdr>
      </w:pPr>
    </w:p>
    <w:p w14:paraId="45FDD56E" w14:textId="20B2C24B" w:rsidR="00EA0674" w:rsidRDefault="008D02CE" w:rsidP="00A81622">
      <w:pPr>
        <w:pStyle w:val="Titre1"/>
      </w:pPr>
      <w:r>
        <w:t>Discussion</w:t>
      </w:r>
    </w:p>
    <w:p w14:paraId="517B47B7" w14:textId="2CFEFA97" w:rsidR="003C698A" w:rsidRDefault="003C698A" w:rsidP="00CB620D">
      <w:r>
        <w:t>For any sidelink communication, synchronization among the communicating devices is a prerequisite. UEs able to communicate together need to be aligned in time and frequency, which means that they have to have a common SyncRef</w:t>
      </w:r>
      <w:r w:rsidR="00797E48">
        <w:t>.</w:t>
      </w:r>
    </w:p>
    <w:p w14:paraId="2F7135BA" w14:textId="69677D61" w:rsidR="00D34883" w:rsidRPr="00E14CED" w:rsidRDefault="00D34883" w:rsidP="00E14CED">
      <w:r>
        <w:t>In LTE V2X, t</w:t>
      </w:r>
      <w:r w:rsidR="0029789D">
        <w:t xml:space="preserve">he synchronization procedure relies on a </w:t>
      </w:r>
      <w:r w:rsidR="00B56F90">
        <w:t xml:space="preserve">strictly </w:t>
      </w:r>
      <w:r w:rsidR="0029789D">
        <w:t xml:space="preserve">hierarchical pre-configuration of different synchronization source types among GNSS, eNB, and SyncRef UEs (which may themselves be directly synchronized to GNSS/eNB, or at 1 or several hops from a GNSS/eNB synchronization reference). </w:t>
      </w:r>
      <w:r w:rsidR="00797E48" w:rsidRPr="00797E48">
        <w:t xml:space="preserve">The UEs search for available </w:t>
      </w:r>
      <w:r w:rsidR="00797E48">
        <w:t>synchronization sources</w:t>
      </w:r>
      <w:r w:rsidR="00797E48" w:rsidRPr="00797E48">
        <w:t>, measure the</w:t>
      </w:r>
      <w:r w:rsidR="00797E48">
        <w:t>ir respective</w:t>
      </w:r>
      <w:r w:rsidR="00797E48" w:rsidRPr="00797E48">
        <w:t xml:space="preserve"> S-RSRP, and </w:t>
      </w:r>
      <w:r w:rsidR="00797E48">
        <w:t>choose their SyncRef according to the synchronization procedure. For a synchronization reference to be considered as valid by a UE, the UE must be</w:t>
      </w:r>
      <w:r w:rsidR="003C698A">
        <w:t xml:space="preserve"> able of determining the SLSS ID and </w:t>
      </w:r>
      <w:r w:rsidR="00797E48">
        <w:t>of decoding</w:t>
      </w:r>
      <w:r w:rsidR="003C698A">
        <w:t xml:space="preserve"> the MIB-SL information</w:t>
      </w:r>
      <w:r w:rsidR="00797E48">
        <w:t xml:space="preserve">, and the </w:t>
      </w:r>
      <w:r w:rsidR="007035D9">
        <w:t xml:space="preserve">associated </w:t>
      </w:r>
      <w:r w:rsidR="00797E48">
        <w:t>S-RSRP measurement should be above a certain threshold</w:t>
      </w:r>
      <w:r w:rsidR="003C698A">
        <w:t>.</w:t>
      </w:r>
      <w:r w:rsidR="004B6852">
        <w:t xml:space="preserve"> </w:t>
      </w:r>
      <w:r w:rsidR="007035D9">
        <w:t>After having identified and ranked the available valid synchronization references, t</w:t>
      </w:r>
      <w:r w:rsidR="0096032C">
        <w:t xml:space="preserve">he UE synchronizes to the synchronization reference with the strongest S-RSRP from the highest priority group. </w:t>
      </w:r>
      <w:r w:rsidR="00E14CED">
        <w:t>LTE synchronization to eNB includes both the cases where the UE is in coverage or the UE is</w:t>
      </w:r>
      <w:r w:rsidR="00E14CED" w:rsidRPr="00E14CED">
        <w:t xml:space="preserve"> out of coverage on the frequency</w:t>
      </w:r>
      <w:r w:rsidR="00E14CED">
        <w:t xml:space="preserve"> for V2X sidelink communication. In the latter case, the UE may still have eNB timing reference if it can connect to the eNB deployed on a different carrier</w:t>
      </w:r>
      <w:r w:rsidR="00E14CED" w:rsidRPr="00E14CED">
        <w:t xml:space="preserve"> and the frequency used to transmit V2X sidelink communication is included in </w:t>
      </w:r>
      <w:r w:rsidR="00E14CED">
        <w:t xml:space="preserve">a frequency list enumerated by the parameter </w:t>
      </w:r>
      <w:r w:rsidR="00E14CED" w:rsidRPr="00E14CED">
        <w:rPr>
          <w:i/>
        </w:rPr>
        <w:t>v2x-InterFreqInfoList</w:t>
      </w:r>
      <w:r w:rsidR="00E14CED">
        <w:t>.</w:t>
      </w:r>
    </w:p>
    <w:p w14:paraId="63C713F6" w14:textId="77777777" w:rsidR="001B5B32" w:rsidRPr="001B5B32" w:rsidRDefault="001B5B32" w:rsidP="001B5B32">
      <w:r w:rsidRPr="001B5B32">
        <w:t>In NR V2X, a principle similar to LTE procedure was chosen as a starting point for the design of the synchronization procedure. A sync priority is associated to each type of SyncRef, and the UE selects its SyncRef among the SyncRefs with the highest priority. How to handle the case when there are two or more references of a same priority to be selected as the highest priority is still up for discussion.</w:t>
      </w:r>
    </w:p>
    <w:p w14:paraId="39ADEEF5" w14:textId="77D7DEB7" w:rsidR="00F76CA2" w:rsidRDefault="00E150DB" w:rsidP="00CB620D">
      <w:r>
        <w:lastRenderedPageBreak/>
        <w:t>Several</w:t>
      </w:r>
      <w:r w:rsidR="00F76CA2">
        <w:t xml:space="preserve"> main difference </w:t>
      </w:r>
      <w:r>
        <w:t xml:space="preserve">exist </w:t>
      </w:r>
      <w:r w:rsidR="00F76CA2">
        <w:t>between NR and LTE V2X</w:t>
      </w:r>
      <w:r>
        <w:t xml:space="preserve"> and need to be taken into account for the synchronization procedure. For example, </w:t>
      </w:r>
      <w:r w:rsidR="00F76CA2">
        <w:t xml:space="preserve">NR also supports unicast and multicast sidelink transmission, and is not limited to broadcast only, as it was the case in LTE V2X. </w:t>
      </w:r>
      <w:r w:rsidR="001B5B32">
        <w:t>Thus, the quality and quantity of the ongoing sidelink communications needs to weight in whenever deciding is re-synchronization is necessary. S</w:t>
      </w:r>
      <w:r w:rsidR="00E14CED">
        <w:t xml:space="preserve">ynchronization procedure should be adapted in order to allow preserving the established communication between vehicles whenever possible. </w:t>
      </w:r>
      <w:r>
        <w:t xml:space="preserve">In another example, especially at higher carrier frequencies, blocking may lead to the </w:t>
      </w:r>
      <w:r w:rsidR="00E14CED">
        <w:t xml:space="preserve">temporary </w:t>
      </w:r>
      <w:r>
        <w:t xml:space="preserve">loss </w:t>
      </w:r>
      <w:r w:rsidR="00E14CED">
        <w:t xml:space="preserve">of the link with the </w:t>
      </w:r>
      <w:r w:rsidR="001B5B32">
        <w:t>current</w:t>
      </w:r>
      <w:r w:rsidR="00E14CED">
        <w:t xml:space="preserve"> synchronization source, which should not lead a UE involved in sidelink communication to </w:t>
      </w:r>
      <w:r w:rsidR="001B5B32">
        <w:t xml:space="preserve">automatically </w:t>
      </w:r>
      <w:r w:rsidR="00E14CED">
        <w:t>drop the current communication and search for a different SyncRef.</w:t>
      </w:r>
    </w:p>
    <w:p w14:paraId="01DF37AA" w14:textId="50B426E4" w:rsidR="00E150DB" w:rsidRDefault="001B5B32" w:rsidP="001B5B32">
      <w:pPr>
        <w:pStyle w:val="Lgende"/>
      </w:pPr>
      <w:bookmarkStart w:id="1" w:name="_Toc7731982"/>
      <w:r>
        <w:t xml:space="preserve">Observation </w:t>
      </w:r>
      <w:fldSimple w:instr=" SEQ Observation \* ARABIC ">
        <w:r w:rsidR="00640FB3">
          <w:rPr>
            <w:noProof/>
          </w:rPr>
          <w:t>1</w:t>
        </w:r>
      </w:fldSimple>
      <w:r>
        <w:t>:</w:t>
      </w:r>
      <w:r>
        <w:tab/>
        <w:t>Re-s</w:t>
      </w:r>
      <w:r w:rsidRPr="001B5B32">
        <w:t xml:space="preserve">ynchronization procedure should be adapted in order to allow preserving the established </w:t>
      </w:r>
      <w:r w:rsidR="007A5AB6">
        <w:t xml:space="preserve">unicast/groupcast </w:t>
      </w:r>
      <w:r w:rsidRPr="001B5B32">
        <w:t>communication between vehicles</w:t>
      </w:r>
      <w:r>
        <w:t>,</w:t>
      </w:r>
      <w:r w:rsidRPr="001B5B32">
        <w:t xml:space="preserve"> whenever possible.</w:t>
      </w:r>
      <w:bookmarkEnd w:id="1"/>
    </w:p>
    <w:p w14:paraId="6E1DC760" w14:textId="66DAEBF7" w:rsidR="00E150DB" w:rsidRDefault="00A53B93" w:rsidP="00CB620D">
      <w:r>
        <w:t xml:space="preserve">In NR, in order to address the issues raised here-above, some simple enhancements can be made to the LTE procedure when dealing with multiple synchronization sources, potentially of the same priority. For example, each sidelink carrier can </w:t>
      </w:r>
      <w:r w:rsidR="00740150">
        <w:t>be associated</w:t>
      </w:r>
      <w:r>
        <w:t xml:space="preserve">, through configuration or pre-configuration, </w:t>
      </w:r>
      <w:r w:rsidR="00740150">
        <w:t xml:space="preserve">with </w:t>
      </w:r>
      <w:r>
        <w:t xml:space="preserve">a list of </w:t>
      </w:r>
      <w:r w:rsidR="009E0D68">
        <w:t xml:space="preserve">eNBs/gNBs (corresponding to network deployments on the same or on a different carrier) that can provide network-based synchronization, and some indication on which of the eNBs/gNBs are synchronized together. </w:t>
      </w:r>
      <w:r w:rsidR="00867B55">
        <w:t xml:space="preserve">Whenever losing a sync reference (e.g. due to temporary blocking), a UE </w:t>
      </w:r>
      <w:r w:rsidR="00740150">
        <w:t xml:space="preserve">already involved in sidelink communication </w:t>
      </w:r>
      <w:r w:rsidR="00867B55">
        <w:t xml:space="preserve">can prioritize a reference with the same </w:t>
      </w:r>
      <w:r w:rsidR="00740150">
        <w:t xml:space="preserve">(or higher) </w:t>
      </w:r>
      <w:r w:rsidR="00867B55">
        <w:t xml:space="preserve">priority from the same synchronization class (whenever available) over a reference with the same </w:t>
      </w:r>
      <w:r w:rsidR="00740150">
        <w:t xml:space="preserve">(or higher) </w:t>
      </w:r>
      <w:r w:rsidR="00867B55">
        <w:t>priority and from a different synchronization class</w:t>
      </w:r>
      <w:r w:rsidR="00740150">
        <w:t>, even when SyncRef from the different synchronization class have higher RSRP</w:t>
      </w:r>
      <w:r w:rsidR="00867B55">
        <w:t xml:space="preserve">. </w:t>
      </w:r>
    </w:p>
    <w:p w14:paraId="0CD7479B" w14:textId="0365343A" w:rsidR="00740150" w:rsidRDefault="00536FBE" w:rsidP="00740150">
      <w:r>
        <w:t xml:space="preserve">This principle is also useful in other scenarios. </w:t>
      </w:r>
      <w:r w:rsidR="00740150" w:rsidRPr="00740150">
        <w:t xml:space="preserve">In the example of partial coverage scenario in </w:t>
      </w:r>
      <w:r w:rsidR="00740150" w:rsidRPr="00740150">
        <w:fldChar w:fldCharType="begin"/>
      </w:r>
      <w:r w:rsidR="00740150" w:rsidRPr="00740150">
        <w:instrText xml:space="preserve"> REF _Ref5120764 \h </w:instrText>
      </w:r>
      <w:r w:rsidR="00740150" w:rsidRPr="00740150">
        <w:fldChar w:fldCharType="separate"/>
      </w:r>
      <w:r w:rsidR="00640FB3" w:rsidRPr="00740150">
        <w:rPr>
          <w:b/>
        </w:rPr>
        <w:t xml:space="preserve">Figure </w:t>
      </w:r>
      <w:r w:rsidR="00640FB3">
        <w:rPr>
          <w:b/>
          <w:noProof/>
        </w:rPr>
        <w:t>1</w:t>
      </w:r>
      <w:r w:rsidR="00740150" w:rsidRPr="00740150">
        <w:fldChar w:fldCharType="end"/>
      </w:r>
      <w:r w:rsidR="00740150" w:rsidRPr="00740150">
        <w:t>, let us assume that the 2 gNBs are synchronized. Based on the strict application of priority rules, the blue car performing a synchronization search would lock upon the SLSS signal with the highest priority (yellow path), although other signals originating from the same (or synchronized) sources with better RSRP exist. If the blue car had knowledge on the initial synchronization source(s) propagated through different paths, it would be able to achieve more robust synchronization by, e.g., combining the different received signals, and/or merge the different synchronization clusters in a single synchronization cluster. The exact contents of the report (e.g., some ID of the initial source, or ID of a group of eNB/gNBs synchronized together) is to be further investigated.</w:t>
      </w:r>
      <w:r>
        <w:t xml:space="preserve"> This procedure also limits the search for asynchronous synchronization sources.</w:t>
      </w:r>
    </w:p>
    <w:p w14:paraId="11ECB2E5" w14:textId="77777777" w:rsidR="00507B91" w:rsidRPr="00507B91" w:rsidRDefault="00507B91" w:rsidP="00507B91">
      <w:r w:rsidRPr="00507B91">
        <w:t>In order to close the FFS point “</w:t>
      </w:r>
      <w:r w:rsidRPr="00507B91">
        <w:rPr>
          <w:i/>
        </w:rPr>
        <w:t>how to handle the case when there are two or more references of a same priority to be selected as the highest priority</w:t>
      </w:r>
      <w:r w:rsidRPr="00507B91">
        <w:t>”, we make the following proposal</w:t>
      </w:r>
    </w:p>
    <w:p w14:paraId="618B988E" w14:textId="62C5FC9A" w:rsidR="00640FB3" w:rsidRDefault="00640FB3" w:rsidP="00640FB3">
      <w:pPr>
        <w:pStyle w:val="Lgende"/>
        <w:keepNext/>
      </w:pPr>
      <w:bookmarkStart w:id="2" w:name="_Toc7728976"/>
      <w:bookmarkStart w:id="3" w:name="_Toc7730915"/>
      <w:bookmarkStart w:id="4" w:name="_Toc7731136"/>
      <w:bookmarkStart w:id="5" w:name="_Toc7731782"/>
      <w:bookmarkStart w:id="6" w:name="_Toc7731820"/>
      <w:bookmarkStart w:id="7" w:name="_Toc7731983"/>
      <w:r>
        <w:t xml:space="preserve">Proposal </w:t>
      </w:r>
      <w:fldSimple w:instr=" SEQ Proposal \* ARABIC ">
        <w:r>
          <w:rPr>
            <w:noProof/>
          </w:rPr>
          <w:t>1</w:t>
        </w:r>
      </w:fldSimple>
      <w:r>
        <w:t>:</w:t>
      </w:r>
      <w:r>
        <w:tab/>
      </w:r>
      <w:r w:rsidRPr="00507B91">
        <w:t xml:space="preserve">Support defining (through configuration/pre-configuration) groups of eNBs/gNBs synchronized together </w:t>
      </w:r>
      <w:r>
        <w:rPr>
          <w:b w:val="0"/>
        </w:rPr>
        <w:t xml:space="preserve">(forming a synchronization class) </w:t>
      </w:r>
      <w:r w:rsidRPr="00507B91">
        <w:t>that can provide synchronization for a given carrier supporting sidelink</w:t>
      </w:r>
      <w:r>
        <w:t>.</w:t>
      </w:r>
      <w:bookmarkEnd w:id="7"/>
    </w:p>
    <w:p w14:paraId="7E17093B" w14:textId="664DE894" w:rsidR="00536FBE" w:rsidRPr="00740150" w:rsidRDefault="00640FB3" w:rsidP="00536FBE">
      <w:pPr>
        <w:rPr>
          <w:b/>
        </w:rPr>
      </w:pPr>
      <w:bookmarkStart w:id="8" w:name="_Toc5034218"/>
      <w:bookmarkStart w:id="9" w:name="_Toc5034587"/>
      <w:bookmarkStart w:id="10" w:name="_Toc5034610"/>
      <w:bookmarkStart w:id="11" w:name="_Toc5038110"/>
      <w:bookmarkStart w:id="12" w:name="_Toc5038123"/>
      <w:bookmarkStart w:id="13" w:name="_Toc5122041"/>
      <w:bookmarkStart w:id="14" w:name="_Toc7727730"/>
      <w:bookmarkStart w:id="15" w:name="_Toc7727734"/>
      <w:bookmarkStart w:id="16" w:name="_Toc7728977"/>
      <w:bookmarkStart w:id="17" w:name="_Toc7730916"/>
      <w:bookmarkStart w:id="18" w:name="_Toc7731137"/>
      <w:bookmarkStart w:id="19" w:name="_Toc7731783"/>
      <w:bookmarkStart w:id="20" w:name="_Toc7731821"/>
      <w:bookmarkStart w:id="21" w:name="_Toc7731984"/>
      <w:bookmarkEnd w:id="2"/>
      <w:bookmarkEnd w:id="3"/>
      <w:bookmarkEnd w:id="4"/>
      <w:bookmarkEnd w:id="5"/>
      <w:bookmarkEnd w:id="6"/>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Pr>
          <w:b/>
          <w:noProof/>
        </w:rPr>
        <w:t>2</w:t>
      </w:r>
      <w:r w:rsidRPr="00640FB3">
        <w:rPr>
          <w:b/>
        </w:rPr>
        <w:fldChar w:fldCharType="end"/>
      </w:r>
      <w:r>
        <w:rPr>
          <w:b/>
        </w:rPr>
        <w:t>:</w:t>
      </w:r>
      <w:r w:rsidR="00536FBE" w:rsidRPr="00740150">
        <w:rPr>
          <w:b/>
        </w:rPr>
        <w:tab/>
        <w:t xml:space="preserve">Support reporting information on the initial synchronization source (e.g., ID of the initial source, or ID of a </w:t>
      </w:r>
      <w:r w:rsidR="00536FBE">
        <w:rPr>
          <w:b/>
        </w:rPr>
        <w:t xml:space="preserve">synchronization class (i.e., </w:t>
      </w:r>
      <w:r w:rsidR="00536FBE" w:rsidRPr="00740150">
        <w:rPr>
          <w:b/>
        </w:rPr>
        <w:t>group of eNB/gNBs synchronized together</w:t>
      </w:r>
      <w:r w:rsidR="00536FBE">
        <w:rPr>
          <w:b/>
        </w:rPr>
        <w:t>)</w:t>
      </w:r>
      <w:r w:rsidR="00536FBE" w:rsidRPr="00740150">
        <w:rPr>
          <w:b/>
        </w:rPr>
        <w:t>) when relaying the timing of another source through SLSS emission.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95FA06" w14:textId="6420B45B" w:rsidR="00175A98" w:rsidRDefault="00640FB3" w:rsidP="00507B91">
      <w:pPr>
        <w:rPr>
          <w:b/>
        </w:rPr>
      </w:pPr>
      <w:bookmarkStart w:id="22" w:name="_Toc7730917"/>
      <w:bookmarkStart w:id="23" w:name="_Toc7731138"/>
      <w:bookmarkStart w:id="24" w:name="_Toc7731784"/>
      <w:bookmarkStart w:id="25" w:name="_Toc7731822"/>
      <w:bookmarkStart w:id="26" w:name="_Toc7731985"/>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Pr>
          <w:b/>
          <w:noProof/>
        </w:rPr>
        <w:t>3</w:t>
      </w:r>
      <w:r w:rsidRPr="00640FB3">
        <w:rPr>
          <w:b/>
        </w:rPr>
        <w:fldChar w:fldCharType="end"/>
      </w:r>
      <w:r>
        <w:rPr>
          <w:b/>
        </w:rPr>
        <w:t>:</w:t>
      </w:r>
      <w:r w:rsidR="00507B91" w:rsidRPr="00507B91">
        <w:rPr>
          <w:b/>
        </w:rPr>
        <w:tab/>
        <w:t xml:space="preserve">When there are two or more </w:t>
      </w:r>
      <w:r w:rsidR="00175A98">
        <w:rPr>
          <w:b/>
        </w:rPr>
        <w:t xml:space="preserve">sync </w:t>
      </w:r>
      <w:r w:rsidR="00507B91" w:rsidRPr="00507B91">
        <w:rPr>
          <w:b/>
        </w:rPr>
        <w:t xml:space="preserve">references of </w:t>
      </w:r>
      <w:r w:rsidR="00536FBE">
        <w:rPr>
          <w:b/>
        </w:rPr>
        <w:t>the same</w:t>
      </w:r>
      <w:r w:rsidR="00507B91" w:rsidRPr="00507B91">
        <w:rPr>
          <w:b/>
        </w:rPr>
        <w:t xml:space="preserve"> priority </w:t>
      </w:r>
      <w:r w:rsidR="00536FBE">
        <w:rPr>
          <w:b/>
        </w:rPr>
        <w:t xml:space="preserve">available </w:t>
      </w:r>
      <w:r w:rsidR="00507B91" w:rsidRPr="00507B91">
        <w:rPr>
          <w:b/>
        </w:rPr>
        <w:t>du</w:t>
      </w:r>
      <w:r w:rsidR="00175A98">
        <w:rPr>
          <w:b/>
        </w:rPr>
        <w:t>ring re-synchronization process:</w:t>
      </w:r>
      <w:bookmarkEnd w:id="22"/>
      <w:bookmarkEnd w:id="23"/>
      <w:bookmarkEnd w:id="24"/>
      <w:bookmarkEnd w:id="25"/>
      <w:bookmarkEnd w:id="26"/>
    </w:p>
    <w:p w14:paraId="186D6CC4" w14:textId="33A1B6B2" w:rsidR="00507B91" w:rsidRDefault="00507B91" w:rsidP="00175A98">
      <w:pPr>
        <w:pStyle w:val="Paragraphedeliste"/>
        <w:numPr>
          <w:ilvl w:val="0"/>
          <w:numId w:val="36"/>
        </w:numPr>
        <w:ind w:leftChars="0"/>
        <w:rPr>
          <w:b/>
        </w:rPr>
      </w:pPr>
      <w:r w:rsidRPr="00175A98">
        <w:rPr>
          <w:b/>
        </w:rPr>
        <w:t xml:space="preserve"> </w:t>
      </w:r>
      <w:r w:rsidR="00175A98">
        <w:rPr>
          <w:b/>
        </w:rPr>
        <w:t xml:space="preserve">If there are </w:t>
      </w:r>
      <w:r w:rsidR="00536FBE" w:rsidRPr="00175A98">
        <w:rPr>
          <w:b/>
        </w:rPr>
        <w:t>sync references from the same synchronization class</w:t>
      </w:r>
      <w:r w:rsidR="00175A98" w:rsidRPr="00175A98">
        <w:rPr>
          <w:b/>
        </w:rPr>
        <w:t xml:space="preserve"> as the latest used SyncRef, </w:t>
      </w:r>
      <w:r w:rsidR="00175A98">
        <w:rPr>
          <w:b/>
        </w:rPr>
        <w:t>and if their</w:t>
      </w:r>
      <w:r w:rsidR="00175A98" w:rsidRPr="00175A98">
        <w:rPr>
          <w:b/>
        </w:rPr>
        <w:t xml:space="preserve"> RSRP</w:t>
      </w:r>
      <w:r w:rsidR="00175A98">
        <w:rPr>
          <w:b/>
        </w:rPr>
        <w:t xml:space="preserve"> is sufficient, the UE selects its SyncRef based on one (e.g. strongest) or a combination of synchronization references from the same synchronization class</w:t>
      </w:r>
    </w:p>
    <w:p w14:paraId="5DEA9E35" w14:textId="109E8F9C" w:rsidR="00175A98" w:rsidRPr="00175A98" w:rsidRDefault="00175A98" w:rsidP="00175A98">
      <w:pPr>
        <w:pStyle w:val="Paragraphedeliste"/>
        <w:numPr>
          <w:ilvl w:val="0"/>
          <w:numId w:val="36"/>
        </w:numPr>
        <w:ind w:leftChars="0"/>
        <w:rPr>
          <w:b/>
        </w:rPr>
      </w:pPr>
      <w:r>
        <w:rPr>
          <w:b/>
        </w:rPr>
        <w:t xml:space="preserve">Otherwise, </w:t>
      </w:r>
      <w:r w:rsidRPr="00175A98">
        <w:rPr>
          <w:b/>
        </w:rPr>
        <w:t xml:space="preserve">the UE selects its SyncRef based on one or a combination of synchronization references from </w:t>
      </w:r>
      <w:r>
        <w:rPr>
          <w:b/>
        </w:rPr>
        <w:t>a different</w:t>
      </w:r>
      <w:r w:rsidRPr="00175A98">
        <w:rPr>
          <w:b/>
        </w:rPr>
        <w:t xml:space="preserve"> synchronization class</w:t>
      </w:r>
      <w:r>
        <w:rPr>
          <w:b/>
        </w:rPr>
        <w:t xml:space="preserve"> with highest RSRP</w:t>
      </w:r>
    </w:p>
    <w:p w14:paraId="4C4D4C5E" w14:textId="77777777" w:rsidR="00740150" w:rsidRPr="00740150" w:rsidRDefault="00740150" w:rsidP="00740150"/>
    <w:p w14:paraId="4C779DBF" w14:textId="77777777" w:rsidR="00740150" w:rsidRPr="00740150" w:rsidRDefault="00740150" w:rsidP="00740150">
      <w:r w:rsidRPr="00740150">
        <w:rPr>
          <w:lang w:val="fr-FR"/>
        </w:rPr>
        <w:drawing>
          <wp:inline distT="0" distB="0" distL="0" distR="0" wp14:anchorId="1BFE479C" wp14:editId="050DDF9A">
            <wp:extent cx="2945128" cy="1901952"/>
            <wp:effectExtent l="0" t="0" r="8255"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rge2.png"/>
                    <pic:cNvPicPr/>
                  </pic:nvPicPr>
                  <pic:blipFill>
                    <a:blip r:embed="rId8">
                      <a:extLst>
                        <a:ext uri="{28A0092B-C50C-407E-A947-70E740481C1C}">
                          <a14:useLocalDpi xmlns:a14="http://schemas.microsoft.com/office/drawing/2010/main" val="0"/>
                        </a:ext>
                      </a:extLst>
                    </a:blip>
                    <a:stretch>
                      <a:fillRect/>
                    </a:stretch>
                  </pic:blipFill>
                  <pic:spPr>
                    <a:xfrm>
                      <a:off x="0" y="0"/>
                      <a:ext cx="2962716" cy="1913310"/>
                    </a:xfrm>
                    <a:prstGeom prst="rect">
                      <a:avLst/>
                    </a:prstGeom>
                  </pic:spPr>
                </pic:pic>
              </a:graphicData>
            </a:graphic>
          </wp:inline>
        </w:drawing>
      </w:r>
    </w:p>
    <w:p w14:paraId="23EB7BEF" w14:textId="771F7223" w:rsidR="00740150" w:rsidRPr="00740150" w:rsidRDefault="00740150" w:rsidP="00740150">
      <w:pPr>
        <w:rPr>
          <w:b/>
        </w:rPr>
      </w:pPr>
      <w:bookmarkStart w:id="27" w:name="_Ref5120764"/>
      <w:r w:rsidRPr="00740150">
        <w:rPr>
          <w:b/>
        </w:rPr>
        <w:t xml:space="preserve">Figure </w:t>
      </w:r>
      <w:r w:rsidRPr="00740150">
        <w:rPr>
          <w:b/>
        </w:rPr>
        <w:fldChar w:fldCharType="begin"/>
      </w:r>
      <w:r w:rsidRPr="00740150">
        <w:rPr>
          <w:b/>
        </w:rPr>
        <w:instrText xml:space="preserve"> SEQ Figure \* ARABIC </w:instrText>
      </w:r>
      <w:r w:rsidRPr="00740150">
        <w:rPr>
          <w:b/>
        </w:rPr>
        <w:fldChar w:fldCharType="separate"/>
      </w:r>
      <w:r w:rsidR="00640FB3">
        <w:rPr>
          <w:b/>
          <w:noProof/>
        </w:rPr>
        <w:t>1</w:t>
      </w:r>
      <w:r w:rsidRPr="00740150">
        <w:fldChar w:fldCharType="end"/>
      </w:r>
      <w:bookmarkEnd w:id="27"/>
      <w:r w:rsidRPr="00740150">
        <w:rPr>
          <w:b/>
        </w:rPr>
        <w:t xml:space="preserve">: </w:t>
      </w:r>
      <w:r w:rsidRPr="00740150">
        <w:t>Same initial sync source propagated through different paths</w:t>
      </w:r>
    </w:p>
    <w:p w14:paraId="1AEAA8F5" w14:textId="77777777" w:rsidR="00740150" w:rsidRDefault="00740150" w:rsidP="00CB620D"/>
    <w:p w14:paraId="530F8D05" w14:textId="426909D7" w:rsidR="0096032C" w:rsidRDefault="00BD3A92" w:rsidP="00CB620D">
      <w:r>
        <w:t>Vehicles communicating together have a common synchronization reference and form a synchroniz</w:t>
      </w:r>
      <w:r w:rsidR="009B4BD9">
        <w:t>ation</w:t>
      </w:r>
      <w:r>
        <w:t xml:space="preserve"> cluster. Multiplying the number of </w:t>
      </w:r>
      <w:r w:rsidR="009B4BD9">
        <w:t>clusters is not beneficial. S</w:t>
      </w:r>
      <w:r>
        <w:t>uch fragmentation limits the efficient communication between users and increases the number of synchronization sources to be decoded/tracked, especially in out-of-coverage and partial coverage scenarios</w:t>
      </w:r>
      <w:r w:rsidR="00DD5018">
        <w:t>.</w:t>
      </w:r>
      <w:r w:rsidR="003021C2">
        <w:t xml:space="preserve"> In order to allow such a feature, it would be useful for UEs able of detecting multiple SyncRefs belonging to different synchronization classes to report, for example, the measured time difference between the detected SyncRefs and trigger merging the different synchronization clusters.</w:t>
      </w:r>
    </w:p>
    <w:p w14:paraId="666EF166" w14:textId="77777777" w:rsidR="00740150" w:rsidRPr="001F4D6E" w:rsidRDefault="00740150" w:rsidP="00A015C6"/>
    <w:p w14:paraId="2CDC9A38" w14:textId="1BF28746" w:rsidR="00A015C6" w:rsidRDefault="00640FB3" w:rsidP="00A015C6">
      <w:pPr>
        <w:pStyle w:val="Lgende"/>
      </w:pPr>
      <w:bookmarkStart w:id="28" w:name="_Toc5032372"/>
      <w:bookmarkStart w:id="29" w:name="_Toc5034217"/>
      <w:bookmarkStart w:id="30" w:name="_Toc5034586"/>
      <w:bookmarkStart w:id="31" w:name="_Toc5034609"/>
      <w:bookmarkStart w:id="32" w:name="_Toc5038109"/>
      <w:bookmarkStart w:id="33" w:name="_Toc5038122"/>
      <w:bookmarkStart w:id="34" w:name="_Toc5122040"/>
      <w:bookmarkStart w:id="35" w:name="_Toc7727729"/>
      <w:bookmarkStart w:id="36" w:name="_Toc7727733"/>
      <w:bookmarkStart w:id="37" w:name="_Toc7728978"/>
      <w:bookmarkStart w:id="38" w:name="_Toc7730918"/>
      <w:bookmarkStart w:id="39" w:name="_Toc7731139"/>
      <w:bookmarkStart w:id="40" w:name="_Toc7731785"/>
      <w:bookmarkStart w:id="41" w:name="_Toc7731823"/>
      <w:bookmarkStart w:id="42" w:name="_Toc7731986"/>
      <w:r w:rsidRPr="00640FB3">
        <w:t xml:space="preserve">Proposal </w:t>
      </w:r>
      <w:fldSimple w:instr=" SEQ Proposal \* ARABIC ">
        <w:r>
          <w:rPr>
            <w:noProof/>
          </w:rPr>
          <w:t>4</w:t>
        </w:r>
      </w:fldSimple>
      <w:r w:rsidR="007A5AB6" w:rsidRPr="007A5AB6">
        <w:t>:</w:t>
      </w:r>
      <w:r w:rsidR="00A015C6" w:rsidRPr="007A5AB6">
        <w:tab/>
      </w:r>
      <w:r w:rsidR="00A015C6">
        <w:t>Support mechanisms allowing to merge synchronization clusters.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AD21C06" w14:textId="77777777" w:rsidR="00A015C6" w:rsidRDefault="00A015C6" w:rsidP="00CB620D"/>
    <w:p w14:paraId="05F5DB17" w14:textId="77777777" w:rsidR="00DF7C91" w:rsidRDefault="00E93B35" w:rsidP="00DF7C91">
      <w:pPr>
        <w:keepNext/>
      </w:pPr>
      <w:r>
        <w:rPr>
          <w:noProof/>
          <w:lang w:val="fr-FR" w:eastAsia="fr-FR"/>
        </w:rPr>
        <w:drawing>
          <wp:inline distT="0" distB="0" distL="0" distR="0" wp14:anchorId="5B7F1B71" wp14:editId="5ACB9AB8">
            <wp:extent cx="6332220" cy="1527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ge.png"/>
                    <pic:cNvPicPr/>
                  </pic:nvPicPr>
                  <pic:blipFill>
                    <a:blip r:embed="rId9">
                      <a:extLst>
                        <a:ext uri="{28A0092B-C50C-407E-A947-70E740481C1C}">
                          <a14:useLocalDpi xmlns:a14="http://schemas.microsoft.com/office/drawing/2010/main" val="0"/>
                        </a:ext>
                      </a:extLst>
                    </a:blip>
                    <a:stretch>
                      <a:fillRect/>
                    </a:stretch>
                  </pic:blipFill>
                  <pic:spPr>
                    <a:xfrm>
                      <a:off x="0" y="0"/>
                      <a:ext cx="6332220" cy="1527175"/>
                    </a:xfrm>
                    <a:prstGeom prst="rect">
                      <a:avLst/>
                    </a:prstGeom>
                  </pic:spPr>
                </pic:pic>
              </a:graphicData>
            </a:graphic>
          </wp:inline>
        </w:drawing>
      </w:r>
    </w:p>
    <w:p w14:paraId="549C02C9" w14:textId="36974B22" w:rsidR="00DD5018" w:rsidRDefault="00DF7C91" w:rsidP="00DF7C91">
      <w:pPr>
        <w:pStyle w:val="Lgende"/>
        <w:rPr>
          <w:b w:val="0"/>
        </w:rPr>
      </w:pPr>
      <w:r>
        <w:t xml:space="preserve">Figure </w:t>
      </w:r>
      <w:r w:rsidR="00703BFD">
        <w:rPr>
          <w:noProof/>
        </w:rPr>
        <w:fldChar w:fldCharType="begin"/>
      </w:r>
      <w:r w:rsidR="00703BFD">
        <w:rPr>
          <w:noProof/>
        </w:rPr>
        <w:instrText xml:space="preserve"> SEQ Figure \* ARABIC </w:instrText>
      </w:r>
      <w:r w:rsidR="00703BFD">
        <w:rPr>
          <w:noProof/>
        </w:rPr>
        <w:fldChar w:fldCharType="separate"/>
      </w:r>
      <w:r w:rsidR="00640FB3">
        <w:rPr>
          <w:noProof/>
        </w:rPr>
        <w:t>2</w:t>
      </w:r>
      <w:r w:rsidR="00703BFD">
        <w:rPr>
          <w:noProof/>
        </w:rPr>
        <w:fldChar w:fldCharType="end"/>
      </w:r>
      <w:r>
        <w:t xml:space="preserve">: </w:t>
      </w:r>
      <w:r w:rsidRPr="00DF7C91">
        <w:rPr>
          <w:b w:val="0"/>
        </w:rPr>
        <w:t>Merge synchronization clusters in out of coverage</w:t>
      </w:r>
    </w:p>
    <w:p w14:paraId="2DEE8752" w14:textId="6C110AC8" w:rsidR="009B4BD9" w:rsidRDefault="009B4BD9" w:rsidP="00CB620D"/>
    <w:p w14:paraId="35A685A2" w14:textId="3CF135AF" w:rsidR="00EA0962" w:rsidRPr="00EA0962" w:rsidRDefault="00EA0962" w:rsidP="00EA0962">
      <w:r>
        <w:t xml:space="preserve">In the case of multicast groups (e.g. platoons) moving out of coverage/towards a different non-synchronized cell/ entering a tunnel, strict application of a priority-based procedure may lead to users dropping out of the multicast group and/or group segmentation. In these cases, the interest keeping the unity of the communicating group is higher than the interest of having some users lock upon a slightly more accurate synchronization source. </w:t>
      </w:r>
    </w:p>
    <w:p w14:paraId="09DA24E4" w14:textId="65EB5EC5" w:rsidR="007E4161" w:rsidRDefault="00640FB3" w:rsidP="00DF7C91">
      <w:pPr>
        <w:pStyle w:val="Lgende"/>
      </w:pPr>
      <w:bookmarkStart w:id="43" w:name="_Toc5034588"/>
      <w:bookmarkStart w:id="44" w:name="_Toc5034611"/>
      <w:bookmarkStart w:id="45" w:name="_Toc5038111"/>
      <w:bookmarkStart w:id="46" w:name="_Toc5038124"/>
      <w:bookmarkStart w:id="47" w:name="_Toc5122042"/>
      <w:bookmarkStart w:id="48" w:name="_Toc7727731"/>
      <w:bookmarkStart w:id="49" w:name="_Toc7727735"/>
      <w:bookmarkStart w:id="50" w:name="_Toc7728979"/>
      <w:bookmarkStart w:id="51" w:name="_Toc7730919"/>
      <w:bookmarkStart w:id="52" w:name="_Toc7731140"/>
      <w:bookmarkStart w:id="53" w:name="_Toc7731786"/>
      <w:bookmarkStart w:id="54" w:name="_Toc7731824"/>
      <w:bookmarkStart w:id="55" w:name="_Toc7731987"/>
      <w:r w:rsidRPr="00640FB3">
        <w:t xml:space="preserve">Proposal </w:t>
      </w:r>
      <w:fldSimple w:instr=" SEQ Proposal \* ARABIC ">
        <w:r>
          <w:rPr>
            <w:noProof/>
          </w:rPr>
          <w:t>5</w:t>
        </w:r>
      </w:fldSimple>
      <w:r w:rsidR="00DF7C91">
        <w:t xml:space="preserve">: </w:t>
      </w:r>
      <w:r w:rsidR="00DF7C91">
        <w:tab/>
      </w:r>
      <w:r w:rsidR="007E4161">
        <w:t xml:space="preserve">For active </w:t>
      </w:r>
      <w:r w:rsidR="0024358F">
        <w:t xml:space="preserve">members </w:t>
      </w:r>
      <w:r w:rsidR="00EA0962">
        <w:t>of</w:t>
      </w:r>
      <w:r w:rsidR="0024358F">
        <w:t xml:space="preserve"> a</w:t>
      </w:r>
      <w:r w:rsidR="007E4161">
        <w:t xml:space="preserve"> unicast/multicast group, </w:t>
      </w:r>
      <w:r w:rsidR="0024358F">
        <w:t xml:space="preserve">consider the unity of the communicating group as a criterion </w:t>
      </w:r>
      <w:r w:rsidR="00F0390E">
        <w:t>during</w:t>
      </w:r>
      <w:r w:rsidR="0024358F">
        <w:t xml:space="preserve"> the synchronization procedure.</w:t>
      </w:r>
      <w:bookmarkEnd w:id="43"/>
      <w:bookmarkEnd w:id="44"/>
      <w:bookmarkEnd w:id="45"/>
      <w:bookmarkEnd w:id="46"/>
      <w:bookmarkEnd w:id="47"/>
      <w:bookmarkEnd w:id="48"/>
      <w:bookmarkEnd w:id="49"/>
      <w:bookmarkEnd w:id="50"/>
      <w:bookmarkEnd w:id="51"/>
      <w:bookmarkEnd w:id="52"/>
      <w:bookmarkEnd w:id="53"/>
      <w:bookmarkEnd w:id="54"/>
      <w:bookmarkEnd w:id="55"/>
    </w:p>
    <w:p w14:paraId="2A68264D" w14:textId="77777777" w:rsidR="00D47352" w:rsidRDefault="00D47352" w:rsidP="00D47352">
      <w:pPr>
        <w:keepNext/>
      </w:pPr>
      <w:r>
        <w:rPr>
          <w:noProof/>
          <w:lang w:val="fr-FR" w:eastAsia="fr-FR"/>
        </w:rPr>
        <w:lastRenderedPageBreak/>
        <w:drawing>
          <wp:inline distT="0" distB="0" distL="0" distR="0" wp14:anchorId="5CCA18E4" wp14:editId="29A4C170">
            <wp:extent cx="4293704" cy="19513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toon.png"/>
                    <pic:cNvPicPr/>
                  </pic:nvPicPr>
                  <pic:blipFill>
                    <a:blip r:embed="rId10">
                      <a:extLst>
                        <a:ext uri="{28A0092B-C50C-407E-A947-70E740481C1C}">
                          <a14:useLocalDpi xmlns:a14="http://schemas.microsoft.com/office/drawing/2010/main" val="0"/>
                        </a:ext>
                      </a:extLst>
                    </a:blip>
                    <a:stretch>
                      <a:fillRect/>
                    </a:stretch>
                  </pic:blipFill>
                  <pic:spPr>
                    <a:xfrm>
                      <a:off x="0" y="0"/>
                      <a:ext cx="4307027" cy="1957425"/>
                    </a:xfrm>
                    <a:prstGeom prst="rect">
                      <a:avLst/>
                    </a:prstGeom>
                  </pic:spPr>
                </pic:pic>
              </a:graphicData>
            </a:graphic>
          </wp:inline>
        </w:drawing>
      </w:r>
    </w:p>
    <w:p w14:paraId="16038BE0" w14:textId="4FE70CC4" w:rsidR="00EA0962" w:rsidRDefault="00D47352" w:rsidP="00D47352">
      <w:pPr>
        <w:pStyle w:val="Lgende"/>
        <w:rPr>
          <w:b w:val="0"/>
        </w:rPr>
      </w:pPr>
      <w:r>
        <w:t xml:space="preserve">Figure </w:t>
      </w:r>
      <w:r w:rsidR="00DB4345">
        <w:rPr>
          <w:noProof/>
        </w:rPr>
        <w:fldChar w:fldCharType="begin"/>
      </w:r>
      <w:r w:rsidR="00DB4345">
        <w:rPr>
          <w:noProof/>
        </w:rPr>
        <w:instrText xml:space="preserve"> SEQ Figure \* ARABIC </w:instrText>
      </w:r>
      <w:r w:rsidR="00DB4345">
        <w:rPr>
          <w:noProof/>
        </w:rPr>
        <w:fldChar w:fldCharType="separate"/>
      </w:r>
      <w:r w:rsidR="00640FB3">
        <w:rPr>
          <w:noProof/>
        </w:rPr>
        <w:t>3</w:t>
      </w:r>
      <w:r w:rsidR="00DB4345">
        <w:rPr>
          <w:noProof/>
        </w:rPr>
        <w:fldChar w:fldCharType="end"/>
      </w:r>
      <w:r>
        <w:t xml:space="preserve">: </w:t>
      </w:r>
      <w:r w:rsidRPr="00D47352">
        <w:rPr>
          <w:b w:val="0"/>
        </w:rPr>
        <w:t>Communication drop within a platoon</w:t>
      </w:r>
    </w:p>
    <w:p w14:paraId="0927E6A8" w14:textId="77777777" w:rsidR="00640FB3" w:rsidRPr="00640FB3" w:rsidRDefault="00640FB3" w:rsidP="00640FB3"/>
    <w:p w14:paraId="74462642" w14:textId="0982A9A4" w:rsidR="00EA0962" w:rsidRPr="00EA0962" w:rsidRDefault="00C12000" w:rsidP="00EA0962">
      <w:r>
        <w:t xml:space="preserve">In some cases, systematically conducting a full synchronization </w:t>
      </w:r>
      <w:r w:rsidR="00A015C6">
        <w:t>search is a heavy procedure and may involve drop of data communication due to hardware limitations. It is useful to investigate means of rendering this procedure lighter, for example in the case where the UE would have some previous knowledge of the surrounding synchronization sources, allowing it, e.g., to conduct only a partial search.</w:t>
      </w:r>
    </w:p>
    <w:p w14:paraId="53D4DF0A" w14:textId="061CEB4F" w:rsidR="00051D54" w:rsidRDefault="00640FB3" w:rsidP="00DF7C91">
      <w:pPr>
        <w:pStyle w:val="Lgende"/>
      </w:pPr>
      <w:bookmarkStart w:id="56" w:name="_Toc5034589"/>
      <w:bookmarkStart w:id="57" w:name="_Toc5034612"/>
      <w:bookmarkStart w:id="58" w:name="_Toc5038112"/>
      <w:bookmarkStart w:id="59" w:name="_Toc5038125"/>
      <w:bookmarkStart w:id="60" w:name="_Toc5122043"/>
      <w:bookmarkStart w:id="61" w:name="_Toc7727732"/>
      <w:bookmarkStart w:id="62" w:name="_Toc7727736"/>
      <w:bookmarkStart w:id="63" w:name="_Toc7728980"/>
      <w:bookmarkStart w:id="64" w:name="_Toc7730920"/>
      <w:bookmarkStart w:id="65" w:name="_Toc7731141"/>
      <w:bookmarkStart w:id="66" w:name="_Toc7731787"/>
      <w:bookmarkStart w:id="67" w:name="_Toc7731825"/>
      <w:bookmarkStart w:id="68" w:name="_Toc7731988"/>
      <w:r w:rsidRPr="00640FB3">
        <w:t xml:space="preserve">Proposal </w:t>
      </w:r>
      <w:fldSimple w:instr=" SEQ Proposal \* ARABIC ">
        <w:r>
          <w:rPr>
            <w:noProof/>
          </w:rPr>
          <w:t>6</w:t>
        </w:r>
      </w:fldSimple>
      <w:r w:rsidR="00DF7C91">
        <w:t xml:space="preserve">: </w:t>
      </w:r>
      <w:r w:rsidR="00DF7C91">
        <w:tab/>
      </w:r>
      <w:r w:rsidR="0024358F">
        <w:t>Consider support of mechanisms for simplified re-synchronization procedure.</w:t>
      </w:r>
      <w:bookmarkEnd w:id="56"/>
      <w:bookmarkEnd w:id="57"/>
      <w:bookmarkEnd w:id="58"/>
      <w:bookmarkEnd w:id="59"/>
      <w:bookmarkEnd w:id="60"/>
      <w:bookmarkEnd w:id="61"/>
      <w:bookmarkEnd w:id="62"/>
      <w:bookmarkEnd w:id="63"/>
      <w:bookmarkEnd w:id="64"/>
      <w:bookmarkEnd w:id="65"/>
      <w:bookmarkEnd w:id="66"/>
      <w:bookmarkEnd w:id="67"/>
      <w:bookmarkEnd w:id="68"/>
    </w:p>
    <w:p w14:paraId="0ED0FAE3" w14:textId="77777777" w:rsidR="00CD7E18" w:rsidRDefault="00CD7E18" w:rsidP="00635B92">
      <w:pPr>
        <w:spacing w:after="0"/>
        <w:jc w:val="left"/>
      </w:pPr>
    </w:p>
    <w:p w14:paraId="4EB80D79" w14:textId="77777777" w:rsidR="008B57C3" w:rsidRDefault="008B57C3" w:rsidP="0001704B">
      <w:pPr>
        <w:pBdr>
          <w:bottom w:val="single" w:sz="12" w:space="1" w:color="auto"/>
        </w:pBdr>
      </w:pPr>
    </w:p>
    <w:p w14:paraId="05E9B506" w14:textId="77777777" w:rsidR="00C42741" w:rsidRPr="00A015C6" w:rsidRDefault="00C42741" w:rsidP="00A81622">
      <w:pPr>
        <w:pStyle w:val="Titre1"/>
      </w:pPr>
      <w:r w:rsidRPr="00A015C6">
        <w:t>Conclusion</w:t>
      </w:r>
      <w:r w:rsidR="00646BAA" w:rsidRPr="00A015C6">
        <w:t>s</w:t>
      </w:r>
    </w:p>
    <w:p w14:paraId="71D26764" w14:textId="046004BF" w:rsidR="002067A2" w:rsidRDefault="005F4E62" w:rsidP="002067A2">
      <w:r w:rsidRPr="001647C0">
        <w:t>Based on the discussion in this contribution, we make the following observations</w:t>
      </w:r>
      <w:r w:rsidR="001B5B32">
        <w:t xml:space="preserve"> and proposals</w:t>
      </w:r>
      <w:r w:rsidRPr="001647C0">
        <w:t>:</w:t>
      </w:r>
    </w:p>
    <w:p w14:paraId="6F4FF835" w14:textId="05CBFA65" w:rsidR="00640FB3" w:rsidRPr="00640FB3" w:rsidRDefault="001B5B32">
      <w:pPr>
        <w:pStyle w:val="Tabledesillustrations"/>
        <w:tabs>
          <w:tab w:val="left" w:pos="1760"/>
        </w:tabs>
        <w:rPr>
          <w:rFonts w:asciiTheme="minorHAnsi" w:eastAsiaTheme="minorEastAsia" w:hAnsiTheme="minorHAnsi" w:cstheme="minorBidi"/>
          <w:b/>
          <w:noProof/>
          <w:sz w:val="22"/>
          <w:szCs w:val="22"/>
          <w:lang w:val="fr-FR" w:eastAsia="fr-FR"/>
        </w:rPr>
      </w:pPr>
      <w:r w:rsidRPr="00640FB3">
        <w:rPr>
          <w:b/>
        </w:rPr>
        <w:fldChar w:fldCharType="begin"/>
      </w:r>
      <w:r w:rsidRPr="00640FB3">
        <w:rPr>
          <w:b/>
        </w:rPr>
        <w:instrText xml:space="preserve"> TOC \n \h \z \c "Observation" </w:instrText>
      </w:r>
      <w:r w:rsidRPr="00640FB3">
        <w:rPr>
          <w:b/>
        </w:rPr>
        <w:fldChar w:fldCharType="separate"/>
      </w:r>
      <w:hyperlink w:anchor="_Toc7731982" w:history="1">
        <w:r w:rsidR="00640FB3" w:rsidRPr="00640FB3">
          <w:rPr>
            <w:rStyle w:val="Lienhypertexte"/>
            <w:b/>
            <w:noProof/>
          </w:rPr>
          <w:t>Observation 1:</w:t>
        </w:r>
        <w:r w:rsidR="00640FB3" w:rsidRPr="00640FB3">
          <w:rPr>
            <w:rFonts w:asciiTheme="minorHAnsi" w:eastAsiaTheme="minorEastAsia" w:hAnsiTheme="minorHAnsi" w:cstheme="minorBidi"/>
            <w:b/>
            <w:noProof/>
            <w:sz w:val="22"/>
            <w:szCs w:val="22"/>
            <w:lang w:val="fr-FR" w:eastAsia="fr-FR"/>
          </w:rPr>
          <w:tab/>
        </w:r>
        <w:r w:rsidR="00640FB3" w:rsidRPr="00640FB3">
          <w:rPr>
            <w:rStyle w:val="Lienhypertexte"/>
            <w:b/>
            <w:noProof/>
          </w:rPr>
          <w:t>Re-synchronization procedure should be adapted in order to allow preserving the established unicast/groupcast communication between vehicles, whenever possible.</w:t>
        </w:r>
      </w:hyperlink>
    </w:p>
    <w:p w14:paraId="24C9AA24" w14:textId="77777777" w:rsidR="00640FB3" w:rsidRPr="00640FB3" w:rsidRDefault="001B5B32" w:rsidP="002067A2">
      <w:pPr>
        <w:rPr>
          <w:b/>
          <w:noProof/>
        </w:rPr>
      </w:pPr>
      <w:r w:rsidRPr="00640FB3">
        <w:rPr>
          <w:b/>
        </w:rPr>
        <w:fldChar w:fldCharType="end"/>
      </w:r>
      <w:r w:rsidR="00640FB3" w:rsidRPr="00640FB3">
        <w:rPr>
          <w:b/>
        </w:rPr>
        <w:fldChar w:fldCharType="begin"/>
      </w:r>
      <w:r w:rsidR="00640FB3" w:rsidRPr="00640FB3">
        <w:rPr>
          <w:b/>
        </w:rPr>
        <w:instrText xml:space="preserve"> TOC \n \h \z \c "Proposal" </w:instrText>
      </w:r>
      <w:r w:rsidR="00640FB3" w:rsidRPr="00640FB3">
        <w:rPr>
          <w:b/>
        </w:rPr>
        <w:fldChar w:fldCharType="separate"/>
      </w:r>
    </w:p>
    <w:p w14:paraId="6790E20B" w14:textId="029D6786" w:rsidR="00640FB3" w:rsidRPr="00640FB3" w:rsidRDefault="00640FB3">
      <w:pPr>
        <w:pStyle w:val="Tabledesillustrations"/>
        <w:tabs>
          <w:tab w:val="left" w:pos="1540"/>
        </w:tabs>
        <w:rPr>
          <w:rFonts w:asciiTheme="minorHAnsi" w:eastAsiaTheme="minorEastAsia" w:hAnsiTheme="minorHAnsi" w:cstheme="minorBidi"/>
          <w:b/>
          <w:noProof/>
          <w:sz w:val="22"/>
          <w:szCs w:val="22"/>
          <w:lang w:val="fr-FR" w:eastAsia="fr-FR"/>
        </w:rPr>
      </w:pPr>
      <w:hyperlink w:anchor="_Toc7731983" w:history="1">
        <w:r w:rsidRPr="00640FB3">
          <w:rPr>
            <w:rStyle w:val="Lienhypertexte"/>
            <w:b/>
            <w:noProof/>
          </w:rPr>
          <w:t>Proposal 1:</w:t>
        </w:r>
        <w:r w:rsidRPr="00640FB3">
          <w:rPr>
            <w:rFonts w:asciiTheme="minorHAnsi" w:eastAsiaTheme="minorEastAsia" w:hAnsiTheme="minorHAnsi" w:cstheme="minorBidi"/>
            <w:b/>
            <w:noProof/>
            <w:sz w:val="22"/>
            <w:szCs w:val="22"/>
            <w:lang w:val="fr-FR" w:eastAsia="fr-FR"/>
          </w:rPr>
          <w:tab/>
        </w:r>
        <w:r w:rsidRPr="00640FB3">
          <w:rPr>
            <w:rStyle w:val="Lienhypertexte"/>
            <w:b/>
            <w:noProof/>
          </w:rPr>
          <w:t>Support defining (through configuration/pre-configuration) groups of eNBs/gNBs synchronized together (forming a synchronization class) that can provide synchronization for a given carrier supporting sidelink.</w:t>
        </w:r>
      </w:hyperlink>
    </w:p>
    <w:p w14:paraId="3C3CBE53" w14:textId="6CE25302" w:rsidR="00640FB3" w:rsidRPr="00640FB3" w:rsidRDefault="00640FB3">
      <w:pPr>
        <w:pStyle w:val="Tabledesillustrations"/>
        <w:tabs>
          <w:tab w:val="left" w:pos="1540"/>
        </w:tabs>
        <w:rPr>
          <w:rFonts w:asciiTheme="minorHAnsi" w:eastAsiaTheme="minorEastAsia" w:hAnsiTheme="minorHAnsi" w:cstheme="minorBidi"/>
          <w:b/>
          <w:noProof/>
          <w:sz w:val="22"/>
          <w:szCs w:val="22"/>
          <w:lang w:val="fr-FR" w:eastAsia="fr-FR"/>
        </w:rPr>
      </w:pPr>
      <w:hyperlink w:anchor="_Toc7731984" w:history="1">
        <w:r w:rsidRPr="00640FB3">
          <w:rPr>
            <w:rStyle w:val="Lienhypertexte"/>
            <w:b/>
            <w:noProof/>
          </w:rPr>
          <w:t>Proposal 2:</w:t>
        </w:r>
        <w:r w:rsidRPr="00640FB3">
          <w:rPr>
            <w:rFonts w:asciiTheme="minorHAnsi" w:eastAsiaTheme="minorEastAsia" w:hAnsiTheme="minorHAnsi" w:cstheme="minorBidi"/>
            <w:b/>
            <w:noProof/>
            <w:sz w:val="22"/>
            <w:szCs w:val="22"/>
            <w:lang w:val="fr-FR" w:eastAsia="fr-FR"/>
          </w:rPr>
          <w:tab/>
        </w:r>
        <w:r w:rsidRPr="00640FB3">
          <w:rPr>
            <w:rStyle w:val="Lienhypertexte"/>
            <w:b/>
            <w:noProof/>
          </w:rPr>
          <w:t>Support reporting information on the initial synchronization source (e.g., ID of the initial source, or ID of a synchronization class (i.e., group of eNB/gNBs synchronized together)) when relaying the timing of another source through SLSS emission.</w:t>
        </w:r>
      </w:hyperlink>
    </w:p>
    <w:p w14:paraId="015E5970" w14:textId="2B7D01F4" w:rsidR="00640FB3" w:rsidRDefault="00640FB3">
      <w:pPr>
        <w:pStyle w:val="Tabledesillustrations"/>
        <w:tabs>
          <w:tab w:val="left" w:pos="1540"/>
        </w:tabs>
        <w:rPr>
          <w:rStyle w:val="Lienhypertexte"/>
          <w:b/>
          <w:noProof/>
        </w:rPr>
      </w:pPr>
      <w:hyperlink w:anchor="_Toc7731985" w:history="1">
        <w:r w:rsidRPr="00640FB3">
          <w:rPr>
            <w:rStyle w:val="Lienhypertexte"/>
            <w:b/>
            <w:noProof/>
          </w:rPr>
          <w:t>Proposal 3:</w:t>
        </w:r>
        <w:r w:rsidRPr="00640FB3">
          <w:rPr>
            <w:rFonts w:asciiTheme="minorHAnsi" w:eastAsiaTheme="minorEastAsia" w:hAnsiTheme="minorHAnsi" w:cstheme="minorBidi"/>
            <w:b/>
            <w:noProof/>
            <w:sz w:val="22"/>
            <w:szCs w:val="22"/>
            <w:lang w:val="fr-FR" w:eastAsia="fr-FR"/>
          </w:rPr>
          <w:tab/>
        </w:r>
        <w:r w:rsidRPr="00640FB3">
          <w:rPr>
            <w:rStyle w:val="Lienhypertexte"/>
            <w:b/>
            <w:noProof/>
          </w:rPr>
          <w:t>When there are two or more sync references of the same priority available during re-synchronization process:</w:t>
        </w:r>
      </w:hyperlink>
    </w:p>
    <w:p w14:paraId="55593419" w14:textId="77777777" w:rsidR="00640FB3" w:rsidRPr="00640FB3" w:rsidRDefault="00640FB3" w:rsidP="00640FB3">
      <w:pPr>
        <w:numPr>
          <w:ilvl w:val="0"/>
          <w:numId w:val="36"/>
        </w:numPr>
        <w:rPr>
          <w:b/>
          <w:lang w:eastAsia="zh-CN"/>
        </w:rPr>
      </w:pPr>
      <w:r w:rsidRPr="00640FB3">
        <w:rPr>
          <w:b/>
          <w:lang w:eastAsia="zh-CN"/>
        </w:rPr>
        <w:t xml:space="preserve">If there are </w:t>
      </w:r>
      <w:r w:rsidR="00536FBE" w:rsidRPr="00640FB3">
        <w:rPr>
          <w:b/>
          <w:lang w:eastAsia="zh-CN"/>
        </w:rPr>
        <w:t>sync references from the same synchronization class</w:t>
      </w:r>
      <w:r w:rsidR="00175A98" w:rsidRPr="00640FB3">
        <w:rPr>
          <w:b/>
          <w:lang w:eastAsia="zh-CN"/>
        </w:rPr>
        <w:t xml:space="preserve"> as the latest used SyncRef, </w:t>
      </w:r>
      <w:r w:rsidRPr="00640FB3">
        <w:rPr>
          <w:b/>
          <w:lang w:eastAsia="zh-CN"/>
        </w:rPr>
        <w:t>and if their</w:t>
      </w:r>
      <w:r w:rsidR="00175A98" w:rsidRPr="00640FB3">
        <w:rPr>
          <w:b/>
          <w:lang w:eastAsia="zh-CN"/>
        </w:rPr>
        <w:t xml:space="preserve"> RSRP</w:t>
      </w:r>
      <w:r w:rsidRPr="00640FB3">
        <w:rPr>
          <w:b/>
          <w:lang w:eastAsia="zh-CN"/>
        </w:rPr>
        <w:t xml:space="preserve"> is sufficient, the UE selects its SyncRef based on one (e.g. strongest) or a combination of synchronization references from the same synchronization class</w:t>
      </w:r>
      <w:bookmarkStart w:id="69" w:name="_GoBack"/>
      <w:bookmarkEnd w:id="69"/>
    </w:p>
    <w:p w14:paraId="75C0A4EF" w14:textId="684AA497" w:rsidR="00640FB3" w:rsidRPr="00640FB3" w:rsidRDefault="00640FB3" w:rsidP="003A5004">
      <w:pPr>
        <w:numPr>
          <w:ilvl w:val="0"/>
          <w:numId w:val="36"/>
        </w:numPr>
        <w:rPr>
          <w:lang w:val="en-GB" w:eastAsia="zh-CN"/>
        </w:rPr>
      </w:pPr>
      <w:r w:rsidRPr="00640FB3">
        <w:rPr>
          <w:b/>
          <w:lang w:eastAsia="zh-CN"/>
        </w:rPr>
        <w:t>Otherwise, the UE selects its SyncRef based on one or a combination of synchronization references from a different synchronization class with highest RSRP</w:t>
      </w:r>
    </w:p>
    <w:p w14:paraId="1B99C4A7" w14:textId="7DDA184A" w:rsidR="00640FB3" w:rsidRPr="00640FB3" w:rsidRDefault="00640FB3">
      <w:pPr>
        <w:pStyle w:val="Tabledesillustrations"/>
        <w:tabs>
          <w:tab w:val="left" w:pos="1320"/>
        </w:tabs>
        <w:rPr>
          <w:rFonts w:asciiTheme="minorHAnsi" w:eastAsiaTheme="minorEastAsia" w:hAnsiTheme="minorHAnsi" w:cstheme="minorBidi"/>
          <w:b/>
          <w:noProof/>
          <w:sz w:val="22"/>
          <w:szCs w:val="22"/>
          <w:lang w:val="fr-FR" w:eastAsia="fr-FR"/>
        </w:rPr>
      </w:pPr>
      <w:hyperlink w:anchor="_Toc7731986" w:history="1">
        <w:r w:rsidRPr="00640FB3">
          <w:rPr>
            <w:rStyle w:val="Lienhypertexte"/>
            <w:b/>
            <w:noProof/>
          </w:rPr>
          <w:t>Proposal 4:</w:t>
        </w:r>
        <w:r w:rsidRPr="00640FB3">
          <w:rPr>
            <w:rFonts w:asciiTheme="minorHAnsi" w:eastAsiaTheme="minorEastAsia" w:hAnsiTheme="minorHAnsi" w:cstheme="minorBidi"/>
            <w:b/>
            <w:noProof/>
            <w:sz w:val="22"/>
            <w:szCs w:val="22"/>
            <w:lang w:val="fr-FR" w:eastAsia="fr-FR"/>
          </w:rPr>
          <w:tab/>
        </w:r>
        <w:r w:rsidRPr="00640FB3">
          <w:rPr>
            <w:rStyle w:val="Lienhypertexte"/>
            <w:b/>
            <w:noProof/>
          </w:rPr>
          <w:t>Support mechanisms allowing to merge synchronization clusters.</w:t>
        </w:r>
      </w:hyperlink>
    </w:p>
    <w:p w14:paraId="7519FF86" w14:textId="3F63A7F2" w:rsidR="00640FB3" w:rsidRPr="00640FB3" w:rsidRDefault="00640FB3">
      <w:pPr>
        <w:pStyle w:val="Tabledesillustrations"/>
        <w:tabs>
          <w:tab w:val="left" w:pos="1540"/>
        </w:tabs>
        <w:rPr>
          <w:rFonts w:asciiTheme="minorHAnsi" w:eastAsiaTheme="minorEastAsia" w:hAnsiTheme="minorHAnsi" w:cstheme="minorBidi"/>
          <w:b/>
          <w:noProof/>
          <w:sz w:val="22"/>
          <w:szCs w:val="22"/>
          <w:lang w:val="fr-FR" w:eastAsia="fr-FR"/>
        </w:rPr>
      </w:pPr>
      <w:hyperlink w:anchor="_Toc7731987" w:history="1">
        <w:r w:rsidRPr="00640FB3">
          <w:rPr>
            <w:rStyle w:val="Lienhypertexte"/>
            <w:b/>
            <w:noProof/>
          </w:rPr>
          <w:t xml:space="preserve">Proposal 5: </w:t>
        </w:r>
        <w:r w:rsidRPr="00640FB3">
          <w:rPr>
            <w:rFonts w:asciiTheme="minorHAnsi" w:eastAsiaTheme="minorEastAsia" w:hAnsiTheme="minorHAnsi" w:cstheme="minorBidi"/>
            <w:b/>
            <w:noProof/>
            <w:sz w:val="22"/>
            <w:szCs w:val="22"/>
            <w:lang w:val="fr-FR" w:eastAsia="fr-FR"/>
          </w:rPr>
          <w:tab/>
        </w:r>
        <w:r w:rsidRPr="00640FB3">
          <w:rPr>
            <w:rStyle w:val="Lienhypertexte"/>
            <w:b/>
            <w:noProof/>
          </w:rPr>
          <w:t>For active members of a unicast/multicast group, consider the unity of the communicating group as a criterion during the synchronization procedure.</w:t>
        </w:r>
      </w:hyperlink>
    </w:p>
    <w:p w14:paraId="016CC09E" w14:textId="3503DADE" w:rsidR="00640FB3" w:rsidRPr="00640FB3" w:rsidRDefault="00640FB3">
      <w:pPr>
        <w:pStyle w:val="Tabledesillustrations"/>
        <w:tabs>
          <w:tab w:val="left" w:pos="1540"/>
        </w:tabs>
        <w:rPr>
          <w:rFonts w:asciiTheme="minorHAnsi" w:eastAsiaTheme="minorEastAsia" w:hAnsiTheme="minorHAnsi" w:cstheme="minorBidi"/>
          <w:b/>
          <w:noProof/>
          <w:sz w:val="22"/>
          <w:szCs w:val="22"/>
          <w:lang w:val="fr-FR" w:eastAsia="fr-FR"/>
        </w:rPr>
      </w:pPr>
      <w:hyperlink w:anchor="_Toc7731988" w:history="1">
        <w:r w:rsidRPr="00640FB3">
          <w:rPr>
            <w:rStyle w:val="Lienhypertexte"/>
            <w:b/>
            <w:noProof/>
          </w:rPr>
          <w:t xml:space="preserve">Proposal 6: </w:t>
        </w:r>
        <w:r w:rsidRPr="00640FB3">
          <w:rPr>
            <w:rFonts w:asciiTheme="minorHAnsi" w:eastAsiaTheme="minorEastAsia" w:hAnsiTheme="minorHAnsi" w:cstheme="minorBidi"/>
            <w:b/>
            <w:noProof/>
            <w:sz w:val="22"/>
            <w:szCs w:val="22"/>
            <w:lang w:val="fr-FR" w:eastAsia="fr-FR"/>
          </w:rPr>
          <w:tab/>
        </w:r>
        <w:r w:rsidRPr="00640FB3">
          <w:rPr>
            <w:rStyle w:val="Lienhypertexte"/>
            <w:b/>
            <w:noProof/>
          </w:rPr>
          <w:t>Consider support of mechanisms for simplified re-synchronization procedure.</w:t>
        </w:r>
      </w:hyperlink>
    </w:p>
    <w:p w14:paraId="4BAC21E5" w14:textId="188D0988" w:rsidR="009B4BD9" w:rsidRPr="001647C0" w:rsidRDefault="00640FB3" w:rsidP="002067A2">
      <w:r w:rsidRPr="00640FB3">
        <w:rPr>
          <w:b/>
        </w:rPr>
        <w:lastRenderedPageBreak/>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30D2FD01" w14:textId="77777777" w:rsidR="00844744" w:rsidRDefault="00844744" w:rsidP="00844744">
      <w:pPr>
        <w:pStyle w:val="Titre3"/>
        <w:numPr>
          <w:ilvl w:val="0"/>
          <w:numId w:val="6"/>
        </w:numPr>
      </w:pPr>
      <w:bookmarkStart w:id="70" w:name="_Ref520481203"/>
      <w:bookmarkStart w:id="71" w:name="_Ref503468864"/>
      <w:r>
        <w:t>RP-181429 Study on NR V2X, RAN#80, June 2018.</w:t>
      </w:r>
    </w:p>
    <w:p w14:paraId="2940D4AC" w14:textId="77777777" w:rsidR="00844744" w:rsidRDefault="00844744" w:rsidP="00844744">
      <w:pPr>
        <w:pStyle w:val="Titre3"/>
        <w:numPr>
          <w:ilvl w:val="0"/>
          <w:numId w:val="6"/>
        </w:numPr>
      </w:pPr>
      <w:bookmarkStart w:id="72" w:name="_Ref4747864"/>
      <w:r w:rsidRPr="0057684C">
        <w:t>RP-190766</w:t>
      </w:r>
      <w:r>
        <w:t xml:space="preserve"> </w:t>
      </w:r>
      <w:r w:rsidRPr="0057684C">
        <w:t>New WID on 5G V2X with NR sidelink.</w:t>
      </w:r>
      <w:bookmarkEnd w:id="70"/>
      <w:r>
        <w:t>, RAN#83, March 2019.</w:t>
      </w:r>
      <w:bookmarkEnd w:id="72"/>
    </w:p>
    <w:p w14:paraId="372BA500" w14:textId="77777777" w:rsidR="00844744" w:rsidRDefault="00844744" w:rsidP="00844744">
      <w:pPr>
        <w:pStyle w:val="Titre3"/>
        <w:numPr>
          <w:ilvl w:val="0"/>
          <w:numId w:val="6"/>
        </w:numPr>
      </w:pPr>
      <w:bookmarkStart w:id="73" w:name="_Ref4797669"/>
      <w:bookmarkEnd w:id="71"/>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bookmarkEnd w:id="73"/>
    </w:p>
    <w:p w14:paraId="2065B4AA" w14:textId="77777777" w:rsidR="00844744" w:rsidRDefault="00844744" w:rsidP="00844744">
      <w:pPr>
        <w:pStyle w:val="Titre3"/>
        <w:numPr>
          <w:ilvl w:val="0"/>
          <w:numId w:val="6"/>
        </w:numPr>
      </w:pPr>
      <w:bookmarkStart w:id="74" w:name="_Ref4797980"/>
      <w:r>
        <w:rPr>
          <w:lang w:eastAsia="ko-KR"/>
        </w:rPr>
        <w:t>RAN1 NRAH#1901 Chairman’s notes, January 2019.</w:t>
      </w:r>
      <w:bookmarkEnd w:id="74"/>
    </w:p>
    <w:p w14:paraId="4E8B2F32" w14:textId="77777777" w:rsidR="001E140D" w:rsidRDefault="009A3312" w:rsidP="001731D5">
      <w:pPr>
        <w:pStyle w:val="Titre3"/>
        <w:numPr>
          <w:ilvl w:val="0"/>
          <w:numId w:val="6"/>
        </w:numPr>
      </w:pPr>
      <w:bookmarkStart w:id="75" w:name="_Ref4748306"/>
      <w:bookmarkStart w:id="76" w:name="_Ref7727426"/>
      <w:r>
        <w:rPr>
          <w:lang w:eastAsia="ko-KR"/>
        </w:rPr>
        <w:t>RAN1#96 Chairman’s notes, February 2019</w:t>
      </w:r>
      <w:r w:rsidR="001E140D">
        <w:rPr>
          <w:lang w:eastAsia="ko-KR"/>
        </w:rPr>
        <w:t>.</w:t>
      </w:r>
      <w:bookmarkEnd w:id="76"/>
    </w:p>
    <w:p w14:paraId="18F089F4" w14:textId="3F674467" w:rsidR="00E76518" w:rsidRDefault="001E140D" w:rsidP="001731D5">
      <w:pPr>
        <w:pStyle w:val="Titre3"/>
        <w:numPr>
          <w:ilvl w:val="0"/>
          <w:numId w:val="6"/>
        </w:numPr>
      </w:pPr>
      <w:r w:rsidRPr="001E140D">
        <w:rPr>
          <w:lang w:eastAsia="ko-KR"/>
        </w:rPr>
        <w:t>R1-1905257</w:t>
      </w:r>
      <w:r>
        <w:rPr>
          <w:lang w:eastAsia="ko-KR"/>
        </w:rPr>
        <w:t xml:space="preserve">, </w:t>
      </w:r>
      <w:r w:rsidRPr="001E140D">
        <w:rPr>
          <w:lang w:eastAsia="ko-KR"/>
        </w:rPr>
        <w:t>On synchronization procedures for NR V2X sidelink</w:t>
      </w:r>
      <w:r w:rsidR="001B5B32">
        <w:rPr>
          <w:lang w:eastAsia="ko-KR"/>
        </w:rPr>
        <w:t>, Mitsubishi Electric, RAN1</w:t>
      </w:r>
      <w:r>
        <w:rPr>
          <w:lang w:eastAsia="ko-KR"/>
        </w:rPr>
        <w:t>#96b, Xi’an, China, April 2019</w:t>
      </w:r>
      <w:r w:rsidR="009A3312">
        <w:rPr>
          <w:lang w:eastAsia="ko-KR"/>
        </w:rPr>
        <w:t>.</w:t>
      </w:r>
      <w:bookmarkEnd w:id="75"/>
    </w:p>
    <w:sectPr w:rsidR="00E7651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F3B8C" w14:textId="77777777" w:rsidR="007B0C75" w:rsidRDefault="007B0C75" w:rsidP="00A81622">
      <w:r>
        <w:separator/>
      </w:r>
    </w:p>
  </w:endnote>
  <w:endnote w:type="continuationSeparator" w:id="0">
    <w:p w14:paraId="5DF0C7B7" w14:textId="77777777" w:rsidR="007B0C75" w:rsidRDefault="007B0C75" w:rsidP="00A81622">
      <w:r>
        <w:continuationSeparator/>
      </w:r>
    </w:p>
  </w:endnote>
  <w:endnote w:type="continuationNotice" w:id="1">
    <w:p w14:paraId="709FEDC3" w14:textId="77777777" w:rsidR="007B0C75" w:rsidRDefault="007B0C75"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decorativ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ECC11" w14:textId="77777777" w:rsidR="007B0C75" w:rsidRDefault="007B0C75" w:rsidP="00A81622">
      <w:r>
        <w:separator/>
      </w:r>
    </w:p>
  </w:footnote>
  <w:footnote w:type="continuationSeparator" w:id="0">
    <w:p w14:paraId="762B9EBF" w14:textId="77777777" w:rsidR="007B0C75" w:rsidRDefault="007B0C75" w:rsidP="00A81622">
      <w:r>
        <w:continuationSeparator/>
      </w:r>
    </w:p>
  </w:footnote>
  <w:footnote w:type="continuationNotice" w:id="1">
    <w:p w14:paraId="017CC92A" w14:textId="77777777" w:rsidR="007B0C75" w:rsidRDefault="007B0C75"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8C0E7B"/>
    <w:multiLevelType w:val="hybridMultilevel"/>
    <w:tmpl w:val="DB1E8A9E"/>
    <w:lvl w:ilvl="0" w:tplc="A12C92A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415758"/>
    <w:multiLevelType w:val="hybridMultilevel"/>
    <w:tmpl w:val="025E086C"/>
    <w:lvl w:ilvl="0" w:tplc="3D988334">
      <w:numFmt w:val="bullet"/>
      <w:lvlText w:val="-"/>
      <w:lvlJc w:val="left"/>
      <w:pPr>
        <w:ind w:left="800" w:hanging="400"/>
      </w:pPr>
      <w:rPr>
        <w:rFonts w:ascii="Times New Roman" w:eastAsia="MS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9"/>
  </w:num>
  <w:num w:numId="3">
    <w:abstractNumId w:val="32"/>
  </w:num>
  <w:num w:numId="4">
    <w:abstractNumId w:val="16"/>
  </w:num>
  <w:num w:numId="5">
    <w:abstractNumId w:val="36"/>
  </w:num>
  <w:num w:numId="6">
    <w:abstractNumId w:val="12"/>
  </w:num>
  <w:num w:numId="7">
    <w:abstractNumId w:val="2"/>
  </w:num>
  <w:num w:numId="8">
    <w:abstractNumId w:val="34"/>
  </w:num>
  <w:num w:numId="9">
    <w:abstractNumId w:val="26"/>
  </w:num>
  <w:num w:numId="10">
    <w:abstractNumId w:val="8"/>
  </w:num>
  <w:num w:numId="11">
    <w:abstractNumId w:val="19"/>
  </w:num>
  <w:num w:numId="12">
    <w:abstractNumId w:val="3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10"/>
  </w:num>
  <w:num w:numId="16">
    <w:abstractNumId w:val="37"/>
  </w:num>
  <w:num w:numId="17">
    <w:abstractNumId w:val="4"/>
  </w:num>
  <w:num w:numId="18">
    <w:abstractNumId w:val="21"/>
  </w:num>
  <w:num w:numId="19">
    <w:abstractNumId w:val="9"/>
  </w:num>
  <w:num w:numId="20">
    <w:abstractNumId w:val="27"/>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0"/>
  </w:num>
  <w:num w:numId="25">
    <w:abstractNumId w:val="11"/>
  </w:num>
  <w:num w:numId="26">
    <w:abstractNumId w:val="13"/>
  </w:num>
  <w:num w:numId="27">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0"/>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8"/>
  </w:num>
  <w:num w:numId="33">
    <w:abstractNumId w:val="22"/>
  </w:num>
  <w:num w:numId="34">
    <w:abstractNumId w:val="23"/>
  </w:num>
  <w:num w:numId="35">
    <w:abstractNumId w:val="15"/>
  </w:num>
  <w:num w:numId="36">
    <w:abstractNumId w:val="24"/>
  </w:num>
  <w:num w:numId="37">
    <w:abstractNumId w:val="17"/>
  </w:num>
  <w:num w:numId="38">
    <w:abstractNumId w:val="35"/>
  </w:num>
  <w:num w:numId="3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19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4EA"/>
    <w:rsid w:val="000175E0"/>
    <w:rsid w:val="00020867"/>
    <w:rsid w:val="00020DEE"/>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117"/>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1D54"/>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BEB"/>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BD9"/>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631"/>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0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0B48"/>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5A98"/>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70D"/>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5B32"/>
    <w:rsid w:val="001B63F6"/>
    <w:rsid w:val="001B6527"/>
    <w:rsid w:val="001B7B3D"/>
    <w:rsid w:val="001B7B93"/>
    <w:rsid w:val="001C0373"/>
    <w:rsid w:val="001C119A"/>
    <w:rsid w:val="001C22D0"/>
    <w:rsid w:val="001C2448"/>
    <w:rsid w:val="001C28A0"/>
    <w:rsid w:val="001C3206"/>
    <w:rsid w:val="001C325C"/>
    <w:rsid w:val="001C364B"/>
    <w:rsid w:val="001C3B1C"/>
    <w:rsid w:val="001C3B52"/>
    <w:rsid w:val="001C3BD5"/>
    <w:rsid w:val="001C3FD1"/>
    <w:rsid w:val="001C4EA7"/>
    <w:rsid w:val="001C4EFD"/>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40D"/>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4D6E"/>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358F"/>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3EBD"/>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89D"/>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1C2"/>
    <w:rsid w:val="003028D4"/>
    <w:rsid w:val="00302D36"/>
    <w:rsid w:val="00302EE6"/>
    <w:rsid w:val="00303334"/>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16A"/>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1FB4"/>
    <w:rsid w:val="003620FE"/>
    <w:rsid w:val="00362913"/>
    <w:rsid w:val="00362E07"/>
    <w:rsid w:val="0036395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98A"/>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0CE"/>
    <w:rsid w:val="00412169"/>
    <w:rsid w:val="00412222"/>
    <w:rsid w:val="004128BE"/>
    <w:rsid w:val="004134A7"/>
    <w:rsid w:val="004146BA"/>
    <w:rsid w:val="0041506E"/>
    <w:rsid w:val="00415FBF"/>
    <w:rsid w:val="0041603F"/>
    <w:rsid w:val="004164AA"/>
    <w:rsid w:val="00416A37"/>
    <w:rsid w:val="00417400"/>
    <w:rsid w:val="004175B5"/>
    <w:rsid w:val="0042002A"/>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6206"/>
    <w:rsid w:val="00467283"/>
    <w:rsid w:val="004675C4"/>
    <w:rsid w:val="0047025A"/>
    <w:rsid w:val="00470A42"/>
    <w:rsid w:val="00470FF5"/>
    <w:rsid w:val="004721E9"/>
    <w:rsid w:val="004732B3"/>
    <w:rsid w:val="004741AA"/>
    <w:rsid w:val="0047530C"/>
    <w:rsid w:val="00475344"/>
    <w:rsid w:val="00475C01"/>
    <w:rsid w:val="004761DA"/>
    <w:rsid w:val="0047794F"/>
    <w:rsid w:val="004779E2"/>
    <w:rsid w:val="00480263"/>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3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852"/>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524"/>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07B91"/>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346"/>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4E72"/>
    <w:rsid w:val="005353BF"/>
    <w:rsid w:val="00535D37"/>
    <w:rsid w:val="0053664C"/>
    <w:rsid w:val="005368B2"/>
    <w:rsid w:val="00536E09"/>
    <w:rsid w:val="00536FBE"/>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325"/>
    <w:rsid w:val="00565522"/>
    <w:rsid w:val="00565B8F"/>
    <w:rsid w:val="005673A0"/>
    <w:rsid w:val="00567781"/>
    <w:rsid w:val="00570B50"/>
    <w:rsid w:val="00570DA9"/>
    <w:rsid w:val="00571ED1"/>
    <w:rsid w:val="00572271"/>
    <w:rsid w:val="00572696"/>
    <w:rsid w:val="00573197"/>
    <w:rsid w:val="00573F95"/>
    <w:rsid w:val="00574508"/>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837"/>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8B8"/>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F48"/>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0FB3"/>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6AB"/>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355C"/>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5D9"/>
    <w:rsid w:val="00703BFD"/>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150"/>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6BA3"/>
    <w:rsid w:val="00786CDF"/>
    <w:rsid w:val="007870E4"/>
    <w:rsid w:val="007872F4"/>
    <w:rsid w:val="00787CF6"/>
    <w:rsid w:val="00787F9E"/>
    <w:rsid w:val="00790FA6"/>
    <w:rsid w:val="0079115E"/>
    <w:rsid w:val="0079213E"/>
    <w:rsid w:val="00792498"/>
    <w:rsid w:val="00793338"/>
    <w:rsid w:val="007941B2"/>
    <w:rsid w:val="0079455D"/>
    <w:rsid w:val="00795500"/>
    <w:rsid w:val="0079695D"/>
    <w:rsid w:val="00796E5A"/>
    <w:rsid w:val="00796E84"/>
    <w:rsid w:val="00797613"/>
    <w:rsid w:val="00797AD8"/>
    <w:rsid w:val="00797E48"/>
    <w:rsid w:val="007A0191"/>
    <w:rsid w:val="007A06C7"/>
    <w:rsid w:val="007A0EF3"/>
    <w:rsid w:val="007A146C"/>
    <w:rsid w:val="007A1FD0"/>
    <w:rsid w:val="007A24F1"/>
    <w:rsid w:val="007A3996"/>
    <w:rsid w:val="007A3CD6"/>
    <w:rsid w:val="007A403B"/>
    <w:rsid w:val="007A4B29"/>
    <w:rsid w:val="007A4B69"/>
    <w:rsid w:val="007A4F9E"/>
    <w:rsid w:val="007A5359"/>
    <w:rsid w:val="007A5AB6"/>
    <w:rsid w:val="007A5CC6"/>
    <w:rsid w:val="007A5D48"/>
    <w:rsid w:val="007A60DB"/>
    <w:rsid w:val="007A7BBB"/>
    <w:rsid w:val="007B012A"/>
    <w:rsid w:val="007B0C75"/>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4161"/>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74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55"/>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1CA"/>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1695"/>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4A23"/>
    <w:rsid w:val="008F5125"/>
    <w:rsid w:val="008F55BA"/>
    <w:rsid w:val="008F5ED0"/>
    <w:rsid w:val="008F60DA"/>
    <w:rsid w:val="008F640E"/>
    <w:rsid w:val="008F6908"/>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032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12"/>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BD9"/>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0D68"/>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B12"/>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5C6"/>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3B93"/>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1"/>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00E"/>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233"/>
    <w:rsid w:val="00B476C5"/>
    <w:rsid w:val="00B500EB"/>
    <w:rsid w:val="00B51CD3"/>
    <w:rsid w:val="00B52A33"/>
    <w:rsid w:val="00B53960"/>
    <w:rsid w:val="00B542E8"/>
    <w:rsid w:val="00B54625"/>
    <w:rsid w:val="00B560C6"/>
    <w:rsid w:val="00B564FA"/>
    <w:rsid w:val="00B56EA9"/>
    <w:rsid w:val="00B56F90"/>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A92"/>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2000"/>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1E52"/>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20D"/>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18"/>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5C63"/>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883"/>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352"/>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545"/>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345"/>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018"/>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6825"/>
    <w:rsid w:val="00DF7C91"/>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4CED"/>
    <w:rsid w:val="00E150DB"/>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3B35"/>
    <w:rsid w:val="00E94C5A"/>
    <w:rsid w:val="00E95728"/>
    <w:rsid w:val="00E96062"/>
    <w:rsid w:val="00E9660A"/>
    <w:rsid w:val="00E96974"/>
    <w:rsid w:val="00E969D5"/>
    <w:rsid w:val="00E9778A"/>
    <w:rsid w:val="00E97AA4"/>
    <w:rsid w:val="00E97B0C"/>
    <w:rsid w:val="00EA0674"/>
    <w:rsid w:val="00EA074B"/>
    <w:rsid w:val="00EA0816"/>
    <w:rsid w:val="00EA0962"/>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288"/>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694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390E"/>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6CA2"/>
    <w:rsid w:val="00F775C7"/>
    <w:rsid w:val="00F7768E"/>
    <w:rsid w:val="00F77830"/>
    <w:rsid w:val="00F77E06"/>
    <w:rsid w:val="00F77E6C"/>
    <w:rsid w:val="00F77E92"/>
    <w:rsid w:val="00F8006C"/>
    <w:rsid w:val="00F809A5"/>
    <w:rsid w:val="00F81393"/>
    <w:rsid w:val="00F823CF"/>
    <w:rsid w:val="00F82ECC"/>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BC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リスト段落,?? ??,?????,????,Lista1,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リスト段落 Car,?? ?? Car,????? Car,???? Car,Lista1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paragraph" w:customStyle="1" w:styleId="PL">
    <w:name w:val="PL"/>
    <w:link w:val="PLChar"/>
    <w:qFormat/>
    <w:rsid w:val="00FD6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D6BC5"/>
    <w:rPr>
      <w:rFonts w:ascii="Courier New" w:eastAsia="Batang" w:hAnsi="Courier New"/>
      <w:noProof/>
      <w:sz w:val="16"/>
      <w:shd w:val="clear" w:color="auto" w:fill="E6E6E6"/>
      <w:lang w:val="en-GB" w:eastAsia="sv-SE"/>
    </w:rPr>
  </w:style>
  <w:style w:type="character" w:customStyle="1" w:styleId="LGTdocChar">
    <w:name w:val="LGTdoc_본문 Char"/>
    <w:basedOn w:val="Policepardfaut"/>
    <w:link w:val="LGTdoc"/>
    <w:locked/>
    <w:rsid w:val="00160B48"/>
    <w:rPr>
      <w:rFonts w:eastAsia="Batang"/>
      <w:kern w:val="2"/>
      <w:sz w:val="22"/>
      <w:szCs w:val="24"/>
      <w:lang w:eastAsia="ko-KR"/>
    </w:rPr>
  </w:style>
  <w:style w:type="character" w:customStyle="1" w:styleId="3GPPAgreementsChar">
    <w:name w:val="3GPP Agreements Char"/>
    <w:link w:val="3GPPAgreements"/>
    <w:locked/>
    <w:rsid w:val="0000519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05197"/>
    <w:pPr>
      <w:numPr>
        <w:numId w:val="29"/>
      </w:numPr>
      <w:spacing w:before="60" w:after="60" w:line="256" w:lineRule="auto"/>
    </w:pPr>
    <w:rPr>
      <w:rFonts w:asciiTheme="minorHAnsi" w:eastAsiaTheme="minorHAnsi" w:hAnsiTheme="minorHAnsi" w:cstheme="minorBidi"/>
      <w:sz w:val="22"/>
      <w:szCs w:val="22"/>
      <w:lang w:eastAsia="zh-CN"/>
    </w:rPr>
  </w:style>
  <w:style w:type="numbering" w:customStyle="1" w:styleId="StyleBulletedSymbolsymbolLeft025Hanging02511">
    <w:name w:val="Style Bulleted Symbol (symbol) Left:  0.25&quot; Hanging:  0.25&quot;11"/>
    <w:rsid w:val="00005197"/>
    <w:pPr>
      <w:numPr>
        <w:numId w:val="29"/>
      </w:numPr>
    </w:pPr>
  </w:style>
  <w:style w:type="paragraph" w:customStyle="1" w:styleId="Proposal">
    <w:name w:val="Proposal"/>
    <w:basedOn w:val="Normal"/>
    <w:rsid w:val="001A170D"/>
    <w:pPr>
      <w:numPr>
        <w:numId w:val="32"/>
      </w:numPr>
      <w:tabs>
        <w:tab w:val="clear" w:pos="9242"/>
        <w:tab w:val="left" w:pos="1701"/>
      </w:tabs>
      <w:spacing w:after="0"/>
      <w:ind w:left="1701" w:hanging="1701"/>
      <w:jc w:val="left"/>
    </w:pPr>
    <w:rPr>
      <w:rFonts w:eastAsia="Malgun Gothic"/>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8817502">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26765447">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6360713">
      <w:bodyDiv w:val="1"/>
      <w:marLeft w:val="0"/>
      <w:marRight w:val="0"/>
      <w:marTop w:val="0"/>
      <w:marBottom w:val="0"/>
      <w:divBdr>
        <w:top w:val="none" w:sz="0" w:space="0" w:color="auto"/>
        <w:left w:val="none" w:sz="0" w:space="0" w:color="auto"/>
        <w:bottom w:val="none" w:sz="0" w:space="0" w:color="auto"/>
        <w:right w:val="none" w:sz="0" w:space="0" w:color="auto"/>
      </w:divBdr>
      <w:divsChild>
        <w:div w:id="1448508272">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11390537">
      <w:bodyDiv w:val="1"/>
      <w:marLeft w:val="0"/>
      <w:marRight w:val="0"/>
      <w:marTop w:val="0"/>
      <w:marBottom w:val="0"/>
      <w:divBdr>
        <w:top w:val="none" w:sz="0" w:space="0" w:color="auto"/>
        <w:left w:val="none" w:sz="0" w:space="0" w:color="auto"/>
        <w:bottom w:val="none" w:sz="0" w:space="0" w:color="auto"/>
        <w:right w:val="none" w:sz="0" w:space="0" w:color="auto"/>
      </w:divBdr>
      <w:divsChild>
        <w:div w:id="471749927">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584829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947733">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99B3D8-B5D6-4073-BE9B-16201EC4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6</Pages>
  <Words>2148</Words>
  <Characters>11817</Characters>
  <Application>Microsoft Office Word</Application>
  <DocSecurity>0</DocSecurity>
  <Lines>98</Lines>
  <Paragraphs>27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10</cp:revision>
  <cp:lastPrinted>2016-08-10T06:06:00Z</cp:lastPrinted>
  <dcterms:created xsi:type="dcterms:W3CDTF">2019-05-02T08:31:00Z</dcterms:created>
  <dcterms:modified xsi:type="dcterms:W3CDTF">2019-05-02T21:27:00Z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